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3" w:rsidRDefault="006F1AA3" w:rsidP="00CF35D3">
      <w:pPr>
        <w:jc w:val="center"/>
        <w:rPr>
          <w:b/>
          <w:sz w:val="22"/>
          <w:szCs w:val="22"/>
        </w:rPr>
      </w:pPr>
    </w:p>
    <w:p w:rsidR="002E5A9E" w:rsidRPr="00690046" w:rsidRDefault="002E5A9E" w:rsidP="002E5A9E">
      <w:pPr>
        <w:pStyle w:val="BodyText"/>
        <w:jc w:val="both"/>
        <w:rPr>
          <w:sz w:val="22"/>
          <w:szCs w:val="22"/>
        </w:rPr>
      </w:pPr>
      <w:r w:rsidRPr="00690046">
        <w:rPr>
          <w:sz w:val="22"/>
          <w:szCs w:val="22"/>
        </w:rPr>
        <w:t xml:space="preserve">This Rhode Island </w:t>
      </w:r>
      <w:r>
        <w:rPr>
          <w:sz w:val="22"/>
          <w:szCs w:val="22"/>
        </w:rPr>
        <w:t>Care Transformation Collaborative</w:t>
      </w:r>
      <w:r w:rsidRPr="00690046">
        <w:rPr>
          <w:sz w:val="22"/>
          <w:szCs w:val="22"/>
        </w:rPr>
        <w:t xml:space="preserve"> Initiative Agreement (the “Agreement”) is entered into this First day of J</w:t>
      </w:r>
      <w:r w:rsidR="00F209F3">
        <w:rPr>
          <w:sz w:val="22"/>
          <w:szCs w:val="22"/>
        </w:rPr>
        <w:t>uly</w:t>
      </w:r>
      <w:r w:rsidRPr="00690046">
        <w:rPr>
          <w:sz w:val="22"/>
          <w:szCs w:val="22"/>
        </w:rPr>
        <w:t xml:space="preserve"> 201</w:t>
      </w:r>
      <w:r w:rsidR="00CB127E">
        <w:rPr>
          <w:sz w:val="22"/>
          <w:szCs w:val="22"/>
        </w:rPr>
        <w:t>7</w:t>
      </w:r>
      <w:r w:rsidRPr="00690046">
        <w:rPr>
          <w:sz w:val="22"/>
          <w:szCs w:val="22"/>
        </w:rPr>
        <w:t xml:space="preserve">, by and between </w:t>
      </w:r>
      <w:r w:rsidRPr="009C6C0A">
        <w:rPr>
          <w:sz w:val="22"/>
          <w:szCs w:val="22"/>
          <w:highlight w:val="yellow"/>
        </w:rPr>
        <w:t>HEALTHPLAN,</w:t>
      </w:r>
      <w:r w:rsidRPr="00690046">
        <w:rPr>
          <w:sz w:val="22"/>
          <w:szCs w:val="22"/>
        </w:rPr>
        <w:t xml:space="preserve"> (hereinafter “Plan”), </w:t>
      </w:r>
      <w:proofErr w:type="gramStart"/>
      <w:r w:rsidRPr="00690046">
        <w:rPr>
          <w:sz w:val="22"/>
          <w:szCs w:val="22"/>
        </w:rPr>
        <w:t>and</w:t>
      </w:r>
      <w:r w:rsidRPr="00690046">
        <w:rPr>
          <w:b/>
          <w:sz w:val="22"/>
          <w:szCs w:val="22"/>
        </w:rPr>
        <w:t xml:space="preserve"> </w:t>
      </w:r>
      <w:r w:rsidRPr="00D50B21">
        <w:rPr>
          <w:sz w:val="22"/>
          <w:szCs w:val="22"/>
        </w:rPr>
        <w:t xml:space="preserve"> </w:t>
      </w:r>
      <w:r w:rsidRPr="009C6C0A">
        <w:rPr>
          <w:sz w:val="22"/>
          <w:szCs w:val="22"/>
          <w:highlight w:val="yellow"/>
        </w:rPr>
        <w:t>PROVIDER</w:t>
      </w:r>
      <w:proofErr w:type="gramEnd"/>
      <w:r w:rsidRPr="009C6C0A">
        <w:rPr>
          <w:sz w:val="22"/>
          <w:szCs w:val="22"/>
          <w:highlight w:val="yellow"/>
        </w:rPr>
        <w:t xml:space="preserve"> NAME</w:t>
      </w:r>
      <w:r>
        <w:rPr>
          <w:sz w:val="22"/>
          <w:szCs w:val="22"/>
        </w:rPr>
        <w:t>.</w:t>
      </w:r>
      <w:r w:rsidRPr="00690046">
        <w:rPr>
          <w:b/>
          <w:sz w:val="22"/>
          <w:szCs w:val="22"/>
        </w:rPr>
        <w:t xml:space="preserve"> </w:t>
      </w:r>
      <w:r w:rsidRPr="00690046">
        <w:rPr>
          <w:sz w:val="22"/>
          <w:szCs w:val="22"/>
        </w:rPr>
        <w:t>(</w:t>
      </w:r>
      <w:proofErr w:type="gramStart"/>
      <w:r w:rsidRPr="00690046">
        <w:rPr>
          <w:sz w:val="22"/>
          <w:szCs w:val="22"/>
        </w:rPr>
        <w:t>hereinafter</w:t>
      </w:r>
      <w:proofErr w:type="gramEnd"/>
      <w:r w:rsidRPr="00690046">
        <w:rPr>
          <w:sz w:val="22"/>
          <w:szCs w:val="22"/>
        </w:rPr>
        <w:t xml:space="preserve"> referred to interchangeably as the “Provider” or “Practice”).</w:t>
      </w:r>
    </w:p>
    <w:p w:rsidR="002E5A9E" w:rsidRPr="00690046" w:rsidRDefault="002E5A9E" w:rsidP="002E5A9E">
      <w:pPr>
        <w:jc w:val="both"/>
        <w:rPr>
          <w:snapToGrid w:val="0"/>
        </w:rPr>
      </w:pPr>
    </w:p>
    <w:p w:rsidR="002E5A9E" w:rsidRPr="00690046" w:rsidRDefault="002E5A9E" w:rsidP="002E5A9E">
      <w:pPr>
        <w:jc w:val="center"/>
        <w:outlineLvl w:val="0"/>
        <w:rPr>
          <w:snapToGrid w:val="0"/>
          <w:u w:val="single"/>
          <w:lang w:val="de-DE"/>
        </w:rPr>
      </w:pPr>
      <w:r w:rsidRPr="00690046">
        <w:rPr>
          <w:snapToGrid w:val="0"/>
          <w:lang w:val="de-DE"/>
        </w:rPr>
        <w:t>W I T N E S S E T H:</w:t>
      </w:r>
    </w:p>
    <w:p w:rsidR="002E5A9E" w:rsidRPr="00690046" w:rsidRDefault="002E5A9E" w:rsidP="002E5A9E">
      <w:pPr>
        <w:jc w:val="both"/>
        <w:rPr>
          <w:snapToGrid w:val="0"/>
          <w:lang w:val="de-DE"/>
        </w:rPr>
      </w:pPr>
    </w:p>
    <w:p w:rsidR="002E5A9E" w:rsidRPr="00690046" w:rsidRDefault="002E5A9E" w:rsidP="002E5A9E">
      <w:pPr>
        <w:jc w:val="both"/>
        <w:rPr>
          <w:snapToGrid w:val="0"/>
          <w:sz w:val="22"/>
          <w:szCs w:val="22"/>
        </w:rPr>
      </w:pPr>
      <w:r w:rsidRPr="00690046">
        <w:rPr>
          <w:snapToGrid w:val="0"/>
          <w:lang w:val="de-DE"/>
        </w:rPr>
        <w:tab/>
      </w:r>
      <w:r w:rsidRPr="00690046">
        <w:rPr>
          <w:snapToGrid w:val="0"/>
          <w:sz w:val="22"/>
          <w:szCs w:val="22"/>
        </w:rPr>
        <w:t>WHEREAS, the Plan and the Provider desire to enter into an agreement for the funding toward the Care Transformation Collaborative (“CTC-RI”) on the terms and conditions set forth herein; and</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WHEREAS, the Provider is  a group of primary care providers (practitioners) or a solo practitioner in the Plan’s network pursuant to a Medical Group Participation Agreement or other substantially similar provider network participation agreement with Plan (hereinafter “Group Agreement”) and</w:t>
      </w:r>
    </w:p>
    <w:p w:rsidR="002E5A9E" w:rsidRPr="00690046" w:rsidRDefault="002E5A9E" w:rsidP="002E5A9E">
      <w:pPr>
        <w:jc w:val="both"/>
        <w:rPr>
          <w:snapToGrid w:val="0"/>
          <w:sz w:val="22"/>
          <w:szCs w:val="22"/>
        </w:rPr>
      </w:pPr>
    </w:p>
    <w:p w:rsidR="002E5A9E" w:rsidRPr="00690046" w:rsidRDefault="002E5A9E" w:rsidP="002E5A9E">
      <w:pPr>
        <w:jc w:val="both"/>
        <w:rPr>
          <w:sz w:val="22"/>
          <w:szCs w:val="22"/>
        </w:rPr>
      </w:pPr>
      <w:r w:rsidRPr="00690046">
        <w:rPr>
          <w:sz w:val="22"/>
          <w:szCs w:val="22"/>
        </w:rPr>
        <w:t>WHEREAS, CTC-RI, a Multi-Payer Demonstration of the Patient-Centered Medical Home (“PCMH”), a model of primary care that will improve the care of chronic disease and lead to better overall health outcomes for Rhode Islanders.</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 xml:space="preserve">NOW, THEREFORE, in consideration of the mutual covenants, promises and undertakings hereinafter set forth and for other good and sufficient consideration, the receipt of which </w:t>
      </w:r>
      <w:proofErr w:type="gramStart"/>
      <w:r w:rsidRPr="00690046">
        <w:rPr>
          <w:snapToGrid w:val="0"/>
          <w:sz w:val="22"/>
          <w:szCs w:val="22"/>
        </w:rPr>
        <w:t>is hereby acknowledged</w:t>
      </w:r>
      <w:proofErr w:type="gramEnd"/>
      <w:r w:rsidRPr="00690046">
        <w:rPr>
          <w:snapToGrid w:val="0"/>
          <w:sz w:val="22"/>
          <w:szCs w:val="22"/>
        </w:rPr>
        <w:t>, the parties hereto agree as follows:</w:t>
      </w:r>
    </w:p>
    <w:p w:rsidR="002E5A9E" w:rsidRPr="0009706B" w:rsidRDefault="002E5A9E" w:rsidP="002E5A9E">
      <w:pPr>
        <w:jc w:val="both"/>
        <w:rPr>
          <w:sz w:val="22"/>
          <w:szCs w:val="22"/>
        </w:rPr>
      </w:pPr>
    </w:p>
    <w:p w:rsidR="002E5A9E" w:rsidRPr="0009706B" w:rsidRDefault="002E5A9E" w:rsidP="002E5A9E">
      <w:pPr>
        <w:jc w:val="center"/>
        <w:rPr>
          <w:b/>
          <w:sz w:val="22"/>
          <w:szCs w:val="22"/>
        </w:rPr>
      </w:pPr>
      <w:r w:rsidRPr="0009706B">
        <w:rPr>
          <w:b/>
          <w:sz w:val="22"/>
          <w:szCs w:val="22"/>
        </w:rPr>
        <w:t>APPLICABILITY</w:t>
      </w:r>
    </w:p>
    <w:p w:rsidR="002E5A9E" w:rsidRPr="0009706B" w:rsidRDefault="002E5A9E" w:rsidP="002E5A9E">
      <w:pPr>
        <w:jc w:val="center"/>
        <w:rPr>
          <w:b/>
          <w:sz w:val="22"/>
          <w:szCs w:val="22"/>
        </w:rPr>
      </w:pPr>
    </w:p>
    <w:p w:rsidR="002E5A9E" w:rsidRPr="0009706B" w:rsidRDefault="002E5A9E" w:rsidP="002E5A9E">
      <w:pPr>
        <w:pStyle w:val="Default"/>
        <w:jc w:val="both"/>
        <w:rPr>
          <w:rFonts w:ascii="Times New Roman" w:hAnsi="Times New Roman" w:cs="Times New Roman"/>
          <w:sz w:val="22"/>
          <w:szCs w:val="22"/>
        </w:rPr>
      </w:pPr>
      <w:r w:rsidRPr="0009706B">
        <w:rPr>
          <w:rFonts w:ascii="Times New Roman" w:hAnsi="Times New Roman" w:cs="Times New Roman"/>
          <w:sz w:val="22"/>
          <w:szCs w:val="22"/>
        </w:rPr>
        <w:t xml:space="preserve">The provisions of this Appendix apply for services to </w:t>
      </w:r>
      <w:proofErr w:type="gramStart"/>
      <w:r w:rsidRPr="0009706B">
        <w:rPr>
          <w:rFonts w:ascii="Times New Roman" w:hAnsi="Times New Roman" w:cs="Times New Roman"/>
          <w:sz w:val="22"/>
          <w:szCs w:val="22"/>
        </w:rPr>
        <w:t>be paid</w:t>
      </w:r>
      <w:proofErr w:type="gramEnd"/>
      <w:r w:rsidRPr="0009706B">
        <w:rPr>
          <w:rFonts w:ascii="Times New Roman" w:hAnsi="Times New Roman" w:cs="Times New Roman"/>
          <w:sz w:val="22"/>
          <w:szCs w:val="22"/>
        </w:rPr>
        <w:t xml:space="preserve"> under this A</w:t>
      </w:r>
      <w:r>
        <w:rPr>
          <w:rFonts w:ascii="Times New Roman" w:hAnsi="Times New Roman" w:cs="Times New Roman"/>
          <w:sz w:val="22"/>
          <w:szCs w:val="22"/>
        </w:rPr>
        <w:t>greement</w:t>
      </w:r>
      <w:r w:rsidRPr="0009706B">
        <w:rPr>
          <w:rFonts w:ascii="Times New Roman" w:hAnsi="Times New Roman" w:cs="Times New Roman"/>
          <w:sz w:val="22"/>
          <w:szCs w:val="22"/>
        </w:rPr>
        <w:t xml:space="preserve">, rendered to Program Customers covered by </w:t>
      </w:r>
      <w:r w:rsidRPr="00F21497">
        <w:rPr>
          <w:rFonts w:ascii="Times New Roman" w:hAnsi="Times New Roman" w:cs="Times New Roman"/>
          <w:sz w:val="22"/>
          <w:szCs w:val="22"/>
          <w:highlight w:val="yellow"/>
        </w:rPr>
        <w:t>commercial</w:t>
      </w:r>
      <w:r>
        <w:rPr>
          <w:rFonts w:ascii="Times New Roman" w:hAnsi="Times New Roman" w:cs="Times New Roman"/>
          <w:sz w:val="22"/>
          <w:szCs w:val="22"/>
          <w:highlight w:val="yellow"/>
        </w:rPr>
        <w:t>, Medicare Advantage</w:t>
      </w:r>
      <w:r w:rsidRPr="00F21497">
        <w:rPr>
          <w:rFonts w:ascii="Times New Roman" w:hAnsi="Times New Roman" w:cs="Times New Roman"/>
          <w:sz w:val="22"/>
          <w:szCs w:val="22"/>
          <w:highlight w:val="yellow"/>
        </w:rPr>
        <w:t xml:space="preserve"> and [</w:t>
      </w:r>
      <w:proofErr w:type="spellStart"/>
      <w:r w:rsidRPr="00F21497">
        <w:rPr>
          <w:rFonts w:ascii="Times New Roman" w:hAnsi="Times New Roman" w:cs="Times New Roman"/>
          <w:sz w:val="22"/>
          <w:szCs w:val="22"/>
          <w:highlight w:val="yellow"/>
        </w:rPr>
        <w:t>RIte</w:t>
      </w:r>
      <w:proofErr w:type="spellEnd"/>
      <w:r w:rsidRPr="00F21497">
        <w:rPr>
          <w:rFonts w:ascii="Times New Roman" w:hAnsi="Times New Roman" w:cs="Times New Roman"/>
          <w:sz w:val="22"/>
          <w:szCs w:val="22"/>
          <w:highlight w:val="yellow"/>
        </w:rPr>
        <w:t xml:space="preserve"> Care Subscribers Benefit Plans</w:t>
      </w:r>
      <w:r>
        <w:rPr>
          <w:rFonts w:ascii="Times New Roman" w:hAnsi="Times New Roman" w:cs="Times New Roman"/>
          <w:sz w:val="22"/>
          <w:szCs w:val="22"/>
        </w:rPr>
        <w:t>]</w:t>
      </w:r>
      <w:r w:rsidRPr="0009706B">
        <w:rPr>
          <w:rFonts w:ascii="Times New Roman" w:hAnsi="Times New Roman" w:cs="Times New Roman"/>
          <w:sz w:val="22"/>
          <w:szCs w:val="22"/>
        </w:rPr>
        <w:t xml:space="preserve">. </w:t>
      </w:r>
    </w:p>
    <w:p w:rsidR="002E5A9E" w:rsidRDefault="002E5A9E" w:rsidP="004C68C1">
      <w:pPr>
        <w:pStyle w:val="CenteredTitle"/>
        <w:rPr>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0" w:name="CTS_9c24fe0968a74efda4b26b4f13fdee58"/>
      <w:bookmarkEnd w:id="0"/>
    </w:p>
    <w:p w:rsidR="00724E88" w:rsidRPr="0009706B" w:rsidRDefault="00724E88" w:rsidP="004654E0">
      <w:pPr>
        <w:jc w:val="both"/>
        <w:rPr>
          <w:sz w:val="22"/>
          <w:szCs w:val="22"/>
        </w:rPr>
      </w:pPr>
    </w:p>
    <w:p w:rsidR="003D39DE" w:rsidRPr="0009706B" w:rsidRDefault="003D39DE" w:rsidP="003D39DE">
      <w:pPr>
        <w:jc w:val="both"/>
        <w:rPr>
          <w:sz w:val="22"/>
          <w:szCs w:val="22"/>
        </w:rPr>
      </w:pPr>
      <w:proofErr w:type="gramStart"/>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w:t>
      </w:r>
      <w:proofErr w:type="spellStart"/>
      <w:r w:rsidRPr="0009706B">
        <w:rPr>
          <w:sz w:val="22"/>
          <w:szCs w:val="22"/>
        </w:rPr>
        <w:t>Payor</w:t>
      </w:r>
      <w:proofErr w:type="spellEnd"/>
      <w:r w:rsidRPr="0009706B">
        <w:rPr>
          <w:sz w:val="22"/>
          <w:szCs w:val="22"/>
        </w:rPr>
        <w:t xml:space="preserve">” instead of </w:t>
      </w:r>
      <w:r w:rsidR="004806ED" w:rsidRPr="0009706B">
        <w:rPr>
          <w:sz w:val="22"/>
          <w:szCs w:val="22"/>
        </w:rPr>
        <w:t>“</w:t>
      </w:r>
      <w:r w:rsidRPr="0009706B">
        <w:rPr>
          <w:sz w:val="22"/>
          <w:szCs w:val="22"/>
        </w:rPr>
        <w:t>Payer” and “Health Services” instead of “Covered Services”).</w:t>
      </w:r>
      <w:proofErr w:type="gramEnd"/>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 xml:space="preserve">’s Care Delivery Requirements </w:t>
      </w:r>
      <w:proofErr w:type="gramStart"/>
      <w:r w:rsidRPr="0009706B">
        <w:rPr>
          <w:rStyle w:val="Strong"/>
          <w:b w:val="0"/>
          <w:bCs/>
          <w:sz w:val="22"/>
          <w:szCs w:val="22"/>
        </w:rPr>
        <w:t>are described</w:t>
      </w:r>
      <w:proofErr w:type="gramEnd"/>
      <w:r w:rsidRPr="0009706B">
        <w:rPr>
          <w:rStyle w:val="Strong"/>
          <w:b w:val="0"/>
          <w:bCs/>
          <w:sz w:val="22"/>
          <w:szCs w:val="22"/>
        </w:rPr>
        <w:t xml:space="preserve"> in the Care Delivery Requirements</w:t>
      </w:r>
      <w:r w:rsidR="0029353F">
        <w:rPr>
          <w:rStyle w:val="Strong"/>
          <w:b w:val="0"/>
          <w:bCs/>
          <w:sz w:val="22"/>
          <w:szCs w:val="22"/>
        </w:rPr>
        <w:t xml:space="preserve"> </w:t>
      </w:r>
      <w:r w:rsidR="0029353F" w:rsidRPr="00BA53C0">
        <w:rPr>
          <w:rStyle w:val="Strong"/>
          <w:b w:val="0"/>
          <w:bCs/>
          <w:sz w:val="22"/>
          <w:szCs w:val="22"/>
        </w:rPr>
        <w:t xml:space="preserve">set forth </w:t>
      </w:r>
      <w:r w:rsidR="00953B88">
        <w:rPr>
          <w:rStyle w:val="Strong"/>
          <w:b w:val="0"/>
          <w:bCs/>
          <w:sz w:val="22"/>
          <w:szCs w:val="22"/>
        </w:rPr>
        <w:t>online at www.ctc-ri.org</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lastRenderedPageBreak/>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proofErr w:type="gramStart"/>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roofErr w:type="gramEnd"/>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w:t>
      </w:r>
      <w:proofErr w:type="spellStart"/>
      <w:r>
        <w:rPr>
          <w:sz w:val="22"/>
          <w:szCs w:val="22"/>
        </w:rPr>
        <w:t>pmpm</w:t>
      </w:r>
      <w:proofErr w:type="spellEnd"/>
      <w:r>
        <w:rPr>
          <w:sz w:val="22"/>
          <w:szCs w:val="22"/>
        </w:rPr>
        <w:t>)</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78706F">
        <w:t xml:space="preserve">described </w:t>
      </w:r>
      <w:r w:rsidR="00141FD4" w:rsidRPr="00CB127E">
        <w:rPr>
          <w:sz w:val="22"/>
          <w:szCs w:val="22"/>
        </w:rPr>
        <w:t xml:space="preserve">in </w:t>
      </w:r>
      <w:r w:rsidR="0014716B" w:rsidRPr="0078706F">
        <w:t>this Appendix</w:t>
      </w:r>
      <w:r w:rsidR="00D1716F" w:rsidRPr="0078706F">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proofErr w:type="gramStart"/>
      <w:r w:rsidRPr="0009706B">
        <w:rPr>
          <w:b/>
          <w:sz w:val="22"/>
          <w:szCs w:val="22"/>
        </w:rPr>
        <w:t>Measurement Period or MP</w:t>
      </w:r>
      <w:r w:rsidRPr="0009706B">
        <w:rPr>
          <w:sz w:val="22"/>
          <w:szCs w:val="22"/>
        </w:rPr>
        <w:t>:  Each 12-month period during which the Program is in effect.</w:t>
      </w:r>
      <w:proofErr w:type="gramEnd"/>
      <w:r w:rsidRPr="0009706B">
        <w:rPr>
          <w:sz w:val="22"/>
          <w:szCs w:val="22"/>
        </w:rPr>
        <w:t xml:space="preserve">  Each Measurement Period will begin on </w:t>
      </w:r>
      <w:r w:rsidRPr="00F24B76">
        <w:rPr>
          <w:sz w:val="22"/>
        </w:rPr>
        <w:t>J</w:t>
      </w:r>
      <w:r w:rsidR="00DA33D9" w:rsidRPr="00F24B76">
        <w:rPr>
          <w:sz w:val="22"/>
        </w:rPr>
        <w:t>ul</w:t>
      </w:r>
      <w:r w:rsidRPr="00F24B76">
        <w:rPr>
          <w:sz w:val="22"/>
        </w:rPr>
        <w:t>y 1</w:t>
      </w:r>
      <w:r w:rsidRPr="00F24B76">
        <w:rPr>
          <w:sz w:val="22"/>
          <w:vertAlign w:val="superscript"/>
        </w:rPr>
        <w:t>st</w:t>
      </w:r>
      <w:r w:rsidRPr="00F24B76">
        <w:rPr>
          <w:sz w:val="22"/>
          <w:szCs w:val="22"/>
        </w:rPr>
        <w:t xml:space="preserve"> and end on </w:t>
      </w:r>
      <w:r w:rsidR="00DA33D9" w:rsidRPr="00F24B76">
        <w:rPr>
          <w:sz w:val="22"/>
        </w:rPr>
        <w:t xml:space="preserve">June </w:t>
      </w:r>
      <w:proofErr w:type="gramStart"/>
      <w:r w:rsidR="00DA33D9" w:rsidRPr="00F24B76">
        <w:rPr>
          <w:sz w:val="22"/>
        </w:rPr>
        <w:t>30</w:t>
      </w:r>
      <w:r w:rsidR="00DA33D9" w:rsidRPr="00F24B76">
        <w:rPr>
          <w:sz w:val="22"/>
          <w:vertAlign w:val="superscript"/>
        </w:rPr>
        <w:t>th</w:t>
      </w:r>
      <w:r w:rsidR="00DA33D9" w:rsidRPr="00F24B76">
        <w:rPr>
          <w:sz w:val="22"/>
        </w:rPr>
        <w:t xml:space="preserve"> </w:t>
      </w:r>
      <w:r w:rsidRPr="0009706B">
        <w:rPr>
          <w:sz w:val="22"/>
          <w:szCs w:val="22"/>
        </w:rPr>
        <w:t xml:space="preserve"> of</w:t>
      </w:r>
      <w:proofErr w:type="gramEnd"/>
      <w:r w:rsidRPr="0009706B">
        <w:rPr>
          <w:sz w:val="22"/>
          <w:szCs w:val="22"/>
        </w:rPr>
        <w:t xml:space="preserve">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w:t>
      </w:r>
      <w:proofErr w:type="gramStart"/>
      <w:r w:rsidR="003027CF">
        <w:rPr>
          <w:bCs/>
          <w:sz w:val="22"/>
          <w:szCs w:val="22"/>
        </w:rPr>
        <w:t xml:space="preserve">Patient </w:t>
      </w:r>
      <w:r w:rsidR="00CE05BD" w:rsidRPr="0009706B">
        <w:rPr>
          <w:bCs/>
          <w:sz w:val="22"/>
          <w:szCs w:val="22"/>
        </w:rPr>
        <w:t xml:space="preserve"> is</w:t>
      </w:r>
      <w:proofErr w:type="gramEnd"/>
      <w:r w:rsidR="00CE05BD" w:rsidRPr="0009706B">
        <w:rPr>
          <w:bCs/>
          <w:sz w:val="22"/>
          <w:szCs w:val="22"/>
        </w:rPr>
        <w:t xml:space="preserve"> a </w:t>
      </w:r>
      <w:r w:rsidR="00273188" w:rsidRPr="0009706B">
        <w:rPr>
          <w:bCs/>
          <w:sz w:val="22"/>
          <w:szCs w:val="22"/>
        </w:rPr>
        <w:t>Program Customer</w:t>
      </w:r>
      <w:r w:rsidR="003027CF">
        <w:rPr>
          <w:bCs/>
          <w:sz w:val="22"/>
          <w:szCs w:val="22"/>
        </w:rPr>
        <w:t xml:space="preserve">/Patient </w:t>
      </w:r>
      <w:r w:rsidR="00CE05BD" w:rsidRPr="0009706B">
        <w:rPr>
          <w:bCs/>
          <w:sz w:val="22"/>
          <w:szCs w:val="22"/>
        </w:rPr>
        <w:t xml:space="preserve"> under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proofErr w:type="gramStart"/>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w:t>
      </w:r>
      <w:proofErr w:type="gramEnd"/>
      <w:r w:rsidRPr="0009706B">
        <w:rPr>
          <w:sz w:val="22"/>
          <w:szCs w:val="22"/>
        </w:rPr>
        <w:t xml:space="preserve">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F24B76">
        <w:rPr>
          <w:sz w:val="22"/>
          <w:szCs w:val="22"/>
        </w:rPr>
        <w:t xml:space="preserve"> runs from July</w:t>
      </w:r>
      <w:r w:rsidRPr="0009706B">
        <w:rPr>
          <w:sz w:val="22"/>
          <w:szCs w:val="22"/>
        </w:rPr>
        <w:t xml:space="preserve"> 1</w:t>
      </w:r>
      <w:r w:rsidRPr="0009706B">
        <w:rPr>
          <w:sz w:val="22"/>
          <w:szCs w:val="22"/>
          <w:vertAlign w:val="superscript"/>
        </w:rPr>
        <w:t>st</w:t>
      </w:r>
      <w:r w:rsidR="00F24B76">
        <w:rPr>
          <w:sz w:val="22"/>
          <w:szCs w:val="22"/>
        </w:rPr>
        <w:t xml:space="preserve"> through September </w:t>
      </w:r>
      <w:proofErr w:type="gramStart"/>
      <w:r w:rsidR="00F24B76">
        <w:rPr>
          <w:sz w:val="22"/>
          <w:szCs w:val="22"/>
        </w:rPr>
        <w:t>30</w:t>
      </w:r>
      <w:r w:rsidR="00F24B76" w:rsidRPr="00F24B76">
        <w:rPr>
          <w:sz w:val="22"/>
          <w:szCs w:val="22"/>
          <w:vertAlign w:val="superscript"/>
        </w:rPr>
        <w:t>th</w:t>
      </w:r>
      <w:r w:rsidR="00F24B76">
        <w:rPr>
          <w:sz w:val="22"/>
          <w:szCs w:val="22"/>
        </w:rPr>
        <w:t xml:space="preserve"> </w:t>
      </w:r>
      <w:r w:rsidRPr="0009706B">
        <w:rPr>
          <w:sz w:val="22"/>
          <w:szCs w:val="22"/>
        </w:rPr>
        <w:t>.</w:t>
      </w:r>
      <w:proofErr w:type="gramEnd"/>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w:t>
      </w:r>
      <w:r w:rsidR="00F24B76">
        <w:rPr>
          <w:sz w:val="22"/>
          <w:szCs w:val="22"/>
        </w:rPr>
        <w:t xml:space="preserve">ment Quarter will run from </w:t>
      </w:r>
      <w:proofErr w:type="gramStart"/>
      <w:r w:rsidR="00F24B76">
        <w:rPr>
          <w:sz w:val="22"/>
          <w:szCs w:val="22"/>
        </w:rPr>
        <w:t xml:space="preserve">October </w:t>
      </w:r>
      <w:r w:rsidRPr="0009706B">
        <w:rPr>
          <w:sz w:val="22"/>
          <w:szCs w:val="22"/>
        </w:rPr>
        <w:t xml:space="preserve"> 1</w:t>
      </w:r>
      <w:r w:rsidRPr="0009706B">
        <w:rPr>
          <w:sz w:val="22"/>
          <w:szCs w:val="22"/>
          <w:vertAlign w:val="superscript"/>
        </w:rPr>
        <w:t>st</w:t>
      </w:r>
      <w:proofErr w:type="gramEnd"/>
      <w:r w:rsidR="00F24B76">
        <w:rPr>
          <w:sz w:val="22"/>
          <w:szCs w:val="22"/>
        </w:rPr>
        <w:t xml:space="preserve"> through December 31</w:t>
      </w:r>
      <w:r w:rsidR="00F24B76" w:rsidRPr="00F24B76">
        <w:rPr>
          <w:sz w:val="22"/>
          <w:szCs w:val="22"/>
          <w:vertAlign w:val="superscript"/>
        </w:rPr>
        <w:t>st</w:t>
      </w:r>
      <w:r w:rsidR="00F24B76">
        <w:rPr>
          <w:sz w:val="22"/>
          <w:szCs w:val="22"/>
        </w:rPr>
        <w:t xml:space="preserve"> </w:t>
      </w:r>
      <w:r w:rsidRPr="0009706B">
        <w:rPr>
          <w:sz w:val="22"/>
          <w:szCs w:val="22"/>
        </w:rPr>
        <w:t xml:space="preserve">. </w:t>
      </w:r>
      <w:r w:rsidR="00720C5F" w:rsidRPr="0009706B">
        <w:rPr>
          <w:sz w:val="22"/>
          <w:szCs w:val="22"/>
        </w:rPr>
        <w:t xml:space="preserve"> </w:t>
      </w:r>
      <w:r w:rsidRPr="0009706B">
        <w:rPr>
          <w:sz w:val="22"/>
          <w:szCs w:val="22"/>
        </w:rPr>
        <w:t xml:space="preserve">The </w:t>
      </w:r>
      <w:r w:rsidR="009C13A2" w:rsidRPr="0009706B">
        <w:rPr>
          <w:sz w:val="22"/>
          <w:szCs w:val="22"/>
        </w:rPr>
        <w:t>3</w:t>
      </w:r>
      <w:r w:rsidR="009C13A2" w:rsidRPr="0009706B">
        <w:rPr>
          <w:sz w:val="22"/>
          <w:szCs w:val="22"/>
          <w:vertAlign w:val="superscript"/>
        </w:rPr>
        <w:t>rd</w:t>
      </w:r>
      <w:r w:rsidR="009C13A2" w:rsidRPr="0009706B">
        <w:rPr>
          <w:sz w:val="22"/>
          <w:szCs w:val="22"/>
        </w:rPr>
        <w:t xml:space="preserve"> </w:t>
      </w:r>
      <w:r w:rsidRPr="0009706B">
        <w:rPr>
          <w:sz w:val="22"/>
          <w:szCs w:val="22"/>
        </w:rPr>
        <w:t>Paym</w:t>
      </w:r>
      <w:r w:rsidR="00F24B76">
        <w:rPr>
          <w:sz w:val="22"/>
          <w:szCs w:val="22"/>
        </w:rPr>
        <w:t xml:space="preserve">ent Quarter will run from </w:t>
      </w:r>
      <w:proofErr w:type="gramStart"/>
      <w:r w:rsidR="00F24B76">
        <w:rPr>
          <w:sz w:val="22"/>
          <w:szCs w:val="22"/>
        </w:rPr>
        <w:t xml:space="preserve">January </w:t>
      </w:r>
      <w:r w:rsidRPr="0009706B">
        <w:rPr>
          <w:sz w:val="22"/>
          <w:szCs w:val="22"/>
        </w:rPr>
        <w:t xml:space="preserve"> 1</w:t>
      </w:r>
      <w:r w:rsidRPr="0009706B">
        <w:rPr>
          <w:sz w:val="22"/>
          <w:szCs w:val="22"/>
          <w:vertAlign w:val="superscript"/>
        </w:rPr>
        <w:t>st</w:t>
      </w:r>
      <w:proofErr w:type="gramEnd"/>
      <w:r w:rsidR="00F24B76">
        <w:rPr>
          <w:sz w:val="22"/>
          <w:szCs w:val="22"/>
        </w:rPr>
        <w:t xml:space="preserve"> through March 31</w:t>
      </w:r>
      <w:r w:rsidR="00F24B76" w:rsidRPr="00F24B76">
        <w:rPr>
          <w:sz w:val="22"/>
          <w:szCs w:val="22"/>
          <w:vertAlign w:val="superscript"/>
        </w:rPr>
        <w:t>st</w:t>
      </w:r>
      <w:r w:rsidR="00F24B76">
        <w:rPr>
          <w:sz w:val="22"/>
          <w:szCs w:val="22"/>
        </w:rPr>
        <w:t xml:space="preserve"> </w:t>
      </w:r>
      <w:r w:rsidRPr="0009706B">
        <w:rPr>
          <w:sz w:val="22"/>
          <w:szCs w:val="22"/>
        </w:rPr>
        <w:t xml:space="preserve">.  The last Payment Quarter of an applicable </w:t>
      </w:r>
      <w:r w:rsidR="00F61B5C" w:rsidRPr="0009706B">
        <w:rPr>
          <w:sz w:val="22"/>
          <w:szCs w:val="22"/>
        </w:rPr>
        <w:t>Measurement Period</w:t>
      </w:r>
      <w:r w:rsidR="00F24B76">
        <w:rPr>
          <w:sz w:val="22"/>
          <w:szCs w:val="22"/>
        </w:rPr>
        <w:t xml:space="preserve"> will run from April </w:t>
      </w:r>
      <w:proofErr w:type="gramStart"/>
      <w:r w:rsidR="00F24B76">
        <w:rPr>
          <w:sz w:val="22"/>
          <w:szCs w:val="22"/>
        </w:rPr>
        <w:t>1</w:t>
      </w:r>
      <w:r w:rsidR="00F24B76" w:rsidRPr="00F24B76">
        <w:rPr>
          <w:sz w:val="22"/>
          <w:szCs w:val="22"/>
          <w:vertAlign w:val="superscript"/>
        </w:rPr>
        <w:t>st</w:t>
      </w:r>
      <w:proofErr w:type="gramEnd"/>
      <w:r w:rsidR="00F24B76">
        <w:rPr>
          <w:sz w:val="22"/>
          <w:szCs w:val="22"/>
        </w:rPr>
        <w:t xml:space="preserve"> through June 30</w:t>
      </w:r>
      <w:r w:rsidR="00F24B76" w:rsidRPr="00F24B76">
        <w:rPr>
          <w:sz w:val="22"/>
          <w:szCs w:val="22"/>
          <w:vertAlign w:val="superscript"/>
        </w:rPr>
        <w:t>th</w:t>
      </w:r>
      <w:r w:rsidR="00F24B76">
        <w:rPr>
          <w:sz w:val="22"/>
          <w:szCs w:val="22"/>
        </w:rPr>
        <w:t xml:space="preserve">. </w:t>
      </w:r>
      <w:bookmarkStart w:id="1" w:name="_GoBack"/>
      <w:bookmarkEnd w:id="1"/>
    </w:p>
    <w:p w:rsidR="00724E88" w:rsidRPr="0009706B" w:rsidRDefault="00724E88" w:rsidP="003D7C78">
      <w:pPr>
        <w:jc w:val="both"/>
        <w:rPr>
          <w:b/>
          <w:sz w:val="22"/>
          <w:szCs w:val="22"/>
        </w:rPr>
      </w:pPr>
    </w:p>
    <w:p w:rsidR="00724E88" w:rsidRPr="0009706B" w:rsidRDefault="00724E88" w:rsidP="003D7C78">
      <w:pPr>
        <w:jc w:val="both"/>
        <w:rPr>
          <w:sz w:val="22"/>
          <w:szCs w:val="22"/>
        </w:rPr>
      </w:pPr>
      <w:proofErr w:type="gramStart"/>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’s Care Management Payment for that applicable Payment Quarter.</w:t>
      </w:r>
      <w:proofErr w:type="gramEnd"/>
      <w:r w:rsidRPr="0009706B">
        <w:rPr>
          <w:sz w:val="22"/>
          <w:szCs w:val="22"/>
        </w:rPr>
        <w:t xml:space="preserve">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804C12">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t>
      </w:r>
      <w:proofErr w:type="gramStart"/>
      <w:r w:rsidRPr="0009706B">
        <w:rPr>
          <w:sz w:val="22"/>
          <w:szCs w:val="22"/>
        </w:rPr>
        <w:t>will be measured</w:t>
      </w:r>
      <w:proofErr w:type="gramEnd"/>
      <w:r w:rsidRPr="0009706B">
        <w:rPr>
          <w:sz w:val="22"/>
          <w:szCs w:val="22"/>
        </w:rPr>
        <w:t>.</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w:t>
      </w:r>
      <w:proofErr w:type="gramStart"/>
      <w:r w:rsidRPr="0009706B">
        <w:rPr>
          <w:sz w:val="22"/>
          <w:szCs w:val="22"/>
        </w:rPr>
        <w:t>is based</w:t>
      </w:r>
      <w:proofErr w:type="gramEnd"/>
      <w:r w:rsidRPr="0009706B">
        <w:rPr>
          <w:sz w:val="22"/>
          <w:szCs w:val="22"/>
        </w:rPr>
        <w:t xml:space="preserve">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a/</w:t>
      </w:r>
      <w:proofErr w:type="spellStart"/>
      <w:r w:rsidR="006F3184">
        <w:rPr>
          <w:b/>
          <w:sz w:val="22"/>
          <w:szCs w:val="22"/>
        </w:rPr>
        <w:t>ka</w:t>
      </w:r>
      <w:proofErr w:type="spellEnd"/>
      <w:r w:rsidR="006F3184">
        <w:rPr>
          <w:b/>
          <w:sz w:val="22"/>
          <w:szCs w:val="22"/>
        </w:rPr>
        <w:t xml:space="preserve">/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Program Provider</w:t>
      </w:r>
      <w:r w:rsidRPr="0009706B">
        <w:rPr>
          <w:sz w:val="22"/>
          <w:szCs w:val="22"/>
        </w:rPr>
        <w:t xml:space="preserve">  and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78706F">
        <w:rPr>
          <w:szCs w:val="20"/>
        </w:rPr>
        <w:t xml:space="preserve">Geriatrics, </w:t>
      </w:r>
      <w:r w:rsidR="008407CC" w:rsidRPr="00CB127E">
        <w:rPr>
          <w:szCs w:val="20"/>
          <w:highlight w:val="yellow"/>
        </w:rPr>
        <w:lastRenderedPageBreak/>
        <w:t>Pediatrics,</w:t>
      </w:r>
      <w:r w:rsidR="008407CC" w:rsidRPr="00BA53C0">
        <w:rPr>
          <w:szCs w:val="20"/>
        </w:rPr>
        <w:t xml:space="preserve"> Internal Medicine, or Family Practice (or any midlevel practitioners employed by the </w:t>
      </w:r>
      <w:r w:rsidR="0078706F">
        <w:rPr>
          <w:szCs w:val="20"/>
        </w:rPr>
        <w:t xml:space="preserve">Geriatrics, </w:t>
      </w:r>
      <w:r w:rsidR="008407CC" w:rsidRPr="00BA53C0">
        <w:rPr>
          <w:szCs w:val="20"/>
        </w:rPr>
        <w:t xml:space="preserve">Pediatrics, Internal Medicine or Family Practice providing primary care services) and </w:t>
      </w:r>
      <w:r w:rsidR="008407CC" w:rsidRPr="00BA53C0">
        <w:t>listed</w:t>
      </w:r>
      <w:r w:rsidR="00724E88" w:rsidRPr="00BA53C0">
        <w:t xml:space="preserve"> </w:t>
      </w:r>
      <w:r w:rsidR="00804C12">
        <w:t>in Exhibit 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proofErr w:type="gramStart"/>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w:t>
      </w:r>
      <w:proofErr w:type="gramEnd"/>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t>
      </w:r>
      <w:proofErr w:type="gramStart"/>
      <w:r w:rsidRPr="0009706B">
        <w:rPr>
          <w:sz w:val="22"/>
          <w:szCs w:val="22"/>
        </w:rPr>
        <w:t>will not be considered</w:t>
      </w:r>
      <w:proofErr w:type="gramEnd"/>
      <w:r w:rsidRPr="0009706B">
        <w:rPr>
          <w:sz w:val="22"/>
          <w:szCs w:val="22"/>
        </w:rPr>
        <w:t xml:space="preserve">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w:t>
      </w:r>
      <w:proofErr w:type="gramStart"/>
      <w:r w:rsidR="006351D8" w:rsidRPr="0009706B">
        <w:rPr>
          <w:sz w:val="22"/>
          <w:szCs w:val="22"/>
        </w:rPr>
        <w:t>is no longer listed</w:t>
      </w:r>
      <w:proofErr w:type="gramEnd"/>
      <w:r w:rsidR="006351D8" w:rsidRPr="0009706B">
        <w:rPr>
          <w:sz w:val="22"/>
          <w:szCs w:val="22"/>
        </w:rPr>
        <w:t xml:space="preserve">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w:t>
      </w:r>
      <w:proofErr w:type="gramStart"/>
      <w:r w:rsidRPr="0009706B">
        <w:rPr>
          <w:bCs/>
          <w:sz w:val="22"/>
          <w:szCs w:val="22"/>
        </w:rPr>
        <w:t>has been attributed</w:t>
      </w:r>
      <w:proofErr w:type="gramEnd"/>
      <w:r w:rsidRPr="0009706B">
        <w:rPr>
          <w:bCs/>
          <w:sz w:val="22"/>
          <w:szCs w:val="22"/>
        </w:rPr>
        <w:t xml:space="preserve"> to a Program Provider PCP in accordance with the Attribution Method </w:t>
      </w:r>
      <w:r w:rsidRPr="00BA53C0">
        <w:rPr>
          <w:b/>
          <w:sz w:val="22"/>
          <w:highlight w:val="green"/>
        </w:rPr>
        <w:t>Exhibit</w:t>
      </w:r>
      <w:r w:rsidR="00407732" w:rsidRPr="00BA53C0">
        <w:rPr>
          <w:b/>
          <w:sz w:val="22"/>
          <w:highlight w:val="green"/>
        </w:rPr>
        <w:t xml:space="preserve"> </w:t>
      </w:r>
      <w:r w:rsidR="00804C12">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proofErr w:type="gramStart"/>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roofErr w:type="gramEnd"/>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804C12">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w:t>
      </w:r>
      <w:proofErr w:type="gramStart"/>
      <w:r w:rsidR="003D39DE" w:rsidRPr="0009706B">
        <w:rPr>
          <w:sz w:val="22"/>
          <w:szCs w:val="22"/>
        </w:rPr>
        <w:t>that are</w:t>
      </w:r>
      <w:proofErr w:type="gramEnd"/>
      <w:r w:rsidR="003D39DE" w:rsidRPr="0009706B">
        <w:rPr>
          <w:sz w:val="22"/>
          <w:szCs w:val="22"/>
        </w:rPr>
        <w:t xml:space="preserv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proofErr w:type="gramStart"/>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w:t>
      </w:r>
      <w:proofErr w:type="gramEnd"/>
      <w:r w:rsidRPr="0009706B">
        <w:rPr>
          <w:b/>
          <w:sz w:val="22"/>
          <w:szCs w:val="22"/>
        </w:rPr>
        <w:t xml:space="preserve">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953B88" w:rsidRDefault="00D63DB2" w:rsidP="00A9522D">
      <w:pPr>
        <w:numPr>
          <w:ilvl w:val="0"/>
          <w:numId w:val="5"/>
        </w:numPr>
        <w:tabs>
          <w:tab w:val="clear" w:pos="1620"/>
          <w:tab w:val="num" w:pos="1080"/>
        </w:tabs>
        <w:ind w:left="1080" w:hanging="180"/>
        <w:jc w:val="both"/>
        <w:rPr>
          <w:sz w:val="22"/>
          <w:szCs w:val="22"/>
        </w:rPr>
      </w:pPr>
      <w:r w:rsidRPr="00953B88">
        <w:rPr>
          <w:snapToGrid w:val="0"/>
          <w:sz w:val="22"/>
          <w:szCs w:val="22"/>
        </w:rPr>
        <w:t>Must employ a nurse care m</w:t>
      </w:r>
      <w:r w:rsidR="00DC520D" w:rsidRPr="00953B88">
        <w:rPr>
          <w:snapToGrid w:val="0"/>
          <w:sz w:val="22"/>
          <w:szCs w:val="22"/>
        </w:rPr>
        <w:t>anager</w:t>
      </w:r>
      <w:r w:rsidR="003027CF" w:rsidRPr="00953B88">
        <w:rPr>
          <w:snapToGrid w:val="0"/>
          <w:sz w:val="22"/>
          <w:szCs w:val="22"/>
        </w:rPr>
        <w:t xml:space="preserve"> (or care coordinator for pediatric practice)</w:t>
      </w:r>
      <w:r w:rsidR="00DC520D" w:rsidRPr="00953B88">
        <w:rPr>
          <w:snapToGrid w:val="0"/>
          <w:sz w:val="22"/>
          <w:szCs w:val="22"/>
        </w:rPr>
        <w:t xml:space="preserve"> </w:t>
      </w:r>
      <w:r w:rsidR="00DC520D" w:rsidRPr="00953B88">
        <w:rPr>
          <w:sz w:val="22"/>
          <w:szCs w:val="22"/>
        </w:rPr>
        <w:t xml:space="preserve">dedicated to care </w:t>
      </w:r>
      <w:proofErr w:type="gramStart"/>
      <w:r w:rsidR="00DC520D" w:rsidRPr="00953B88">
        <w:rPr>
          <w:sz w:val="22"/>
          <w:szCs w:val="22"/>
        </w:rPr>
        <w:t>coordination  to</w:t>
      </w:r>
      <w:proofErr w:type="gramEnd"/>
      <w:r w:rsidR="00DC520D" w:rsidRPr="00953B88">
        <w:rPr>
          <w:sz w:val="22"/>
          <w:szCs w:val="22"/>
        </w:rPr>
        <w:t xml:space="preserve"> support the implementation and maintenance of the Care Delivery Requirements as </w:t>
      </w:r>
      <w:r w:rsidR="00953B88">
        <w:rPr>
          <w:sz w:val="22"/>
          <w:szCs w:val="22"/>
        </w:rPr>
        <w:t>described online at www.ctc-ri.org</w:t>
      </w:r>
      <w:r w:rsidR="00DC520D" w:rsidRPr="00953B88">
        <w:rPr>
          <w:sz w:val="22"/>
          <w:szCs w:val="22"/>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F46670">
        <w:rPr>
          <w:sz w:val="22"/>
          <w:szCs w:val="22"/>
          <w:highlight w:val="yellow"/>
        </w:rPr>
        <w:t xml:space="preserve">set forth </w:t>
      </w:r>
      <w:r w:rsidR="00953B88">
        <w:rPr>
          <w:sz w:val="22"/>
          <w:szCs w:val="22"/>
        </w:rPr>
        <w:t xml:space="preserve">online at </w:t>
      </w:r>
      <w:hyperlink r:id="rId12" w:history="1">
        <w:r w:rsidR="00953B88" w:rsidRPr="002C2ED6">
          <w:rPr>
            <w:rStyle w:val="Hyperlink"/>
            <w:sz w:val="22"/>
            <w:szCs w:val="22"/>
          </w:rPr>
          <w:t>www.ctc-ri.org</w:t>
        </w:r>
      </w:hyperlink>
      <w:r w:rsidR="00953B88">
        <w:rPr>
          <w:sz w:val="22"/>
          <w:szCs w:val="22"/>
        </w:rPr>
        <w:t xml:space="preserve"> </w:t>
      </w:r>
      <w:r w:rsidR="006B3D1E" w:rsidRPr="0009706B">
        <w:rPr>
          <w:sz w:val="22"/>
          <w:szCs w:val="22"/>
        </w:rPr>
        <w:t>in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lastRenderedPageBreak/>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proofErr w:type="gramStart"/>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ed</w:t>
      </w:r>
      <w:proofErr w:type="gramEnd"/>
      <w:r w:rsidR="007876C5" w:rsidRPr="007876C5">
        <w:rPr>
          <w:sz w:val="22"/>
          <w:szCs w:val="22"/>
        </w:rPr>
        <w:t xml:space="preserve">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prior to Care Management requirem</w:t>
      </w:r>
      <w:r w:rsidR="00953B88">
        <w:rPr>
          <w:sz w:val="22"/>
          <w:szCs w:val="22"/>
        </w:rPr>
        <w:t xml:space="preserve">ent delivery schedule as described online at </w:t>
      </w:r>
      <w:hyperlink r:id="rId13" w:history="1">
        <w:r w:rsidR="00953B88" w:rsidRPr="002C2ED6">
          <w:rPr>
            <w:rStyle w:val="Hyperlink"/>
            <w:sz w:val="22"/>
            <w:szCs w:val="22"/>
          </w:rPr>
          <w:t>www.ctc-ri.org</w:t>
        </w:r>
      </w:hyperlink>
      <w:r w:rsidR="00953B88">
        <w:rPr>
          <w:sz w:val="22"/>
          <w:szCs w:val="22"/>
        </w:rPr>
        <w:t xml:space="preserve"> </w:t>
      </w:r>
      <w:r w:rsidR="002C0652">
        <w:rPr>
          <w:sz w:val="22"/>
          <w:szCs w:val="22"/>
        </w:rPr>
        <w:t xml:space="preserve">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953B88">
        <w:rPr>
          <w:sz w:val="22"/>
          <w:szCs w:val="22"/>
        </w:rPr>
        <w:t>described online at www.ctc-ri.org</w:t>
      </w:r>
      <w:r w:rsidR="00A819C8">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to request an 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proofErr w:type="gramStart"/>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proofErr w:type="gramEnd"/>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w:t>
      </w:r>
      <w:proofErr w:type="spellStart"/>
      <w:r w:rsidR="009453C0" w:rsidRPr="009453C0">
        <w:rPr>
          <w:sz w:val="22"/>
          <w:szCs w:val="22"/>
        </w:rPr>
        <w:t>RIte</w:t>
      </w:r>
      <w:proofErr w:type="spellEnd"/>
      <w:r w:rsidR="009453C0" w:rsidRPr="009453C0">
        <w:rPr>
          <w:sz w:val="22"/>
          <w:szCs w:val="22"/>
        </w:rPr>
        <w:t xml:space="preserve"> Care Subscriber payments will only be </w:t>
      </w:r>
      <w:proofErr w:type="gramStart"/>
      <w:r w:rsidR="009453C0" w:rsidRPr="009453C0">
        <w:rPr>
          <w:sz w:val="22"/>
          <w:szCs w:val="22"/>
        </w:rPr>
        <w:t xml:space="preserve">made  </w:t>
      </w:r>
      <w:r w:rsidR="009453C0">
        <w:rPr>
          <w:sz w:val="22"/>
          <w:szCs w:val="22"/>
        </w:rPr>
        <w:t>to</w:t>
      </w:r>
      <w:proofErr w:type="gramEnd"/>
      <w:r w:rsidR="009453C0">
        <w:rPr>
          <w:sz w:val="22"/>
          <w:szCs w:val="22"/>
        </w:rPr>
        <w:t xml:space="preserve">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proofErr w:type="gramStart"/>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w:t>
      </w:r>
      <w:proofErr w:type="gramEnd"/>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w:t>
      </w:r>
      <w:proofErr w:type="gramStart"/>
      <w:r w:rsidRPr="0009706B">
        <w:rPr>
          <w:sz w:val="22"/>
          <w:szCs w:val="22"/>
        </w:rPr>
        <w:t>are described</w:t>
      </w:r>
      <w:proofErr w:type="gramEnd"/>
      <w:r w:rsidRPr="0009706B">
        <w:rPr>
          <w:sz w:val="22"/>
          <w:szCs w:val="22"/>
        </w:rPr>
        <w:t xml:space="preserve">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F209F3" w:rsidP="00F209F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sidR="00F620CF" w:rsidRPr="0009706B">
              <w:rPr>
                <w:sz w:val="22"/>
                <w:szCs w:val="22"/>
              </w:rPr>
              <w:t xml:space="preserve">7 through </w:t>
            </w:r>
            <w:r>
              <w:rPr>
                <w:sz w:val="22"/>
                <w:szCs w:val="22"/>
              </w:rPr>
              <w:t>6-30</w:t>
            </w:r>
            <w:r w:rsidR="00F620CF" w:rsidRPr="0009706B">
              <w:rPr>
                <w:sz w:val="22"/>
                <w:szCs w:val="22"/>
              </w:rPr>
              <w:t>-2017</w:t>
            </w:r>
          </w:p>
        </w:tc>
        <w:tc>
          <w:tcPr>
            <w:tcW w:w="2880" w:type="dxa"/>
          </w:tcPr>
          <w:p w:rsidR="00F620CF" w:rsidRPr="00490376" w:rsidRDefault="00F620CF" w:rsidP="003337E2">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sidR="003337E2">
              <w:rPr>
                <w:sz w:val="22"/>
                <w:szCs w:val="22"/>
              </w:rPr>
              <w:t>3</w:t>
            </w:r>
            <w:r w:rsidR="00F209F3">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F209F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8 through 6-30</w:t>
            </w:r>
            <w:r w:rsidR="00F620CF" w:rsidRPr="0009706B">
              <w:rPr>
                <w:sz w:val="22"/>
                <w:szCs w:val="22"/>
              </w:rPr>
              <w:t>-2018</w:t>
            </w:r>
          </w:p>
        </w:tc>
        <w:tc>
          <w:tcPr>
            <w:tcW w:w="2880" w:type="dxa"/>
          </w:tcPr>
          <w:p w:rsidR="00F620CF" w:rsidRPr="00490376" w:rsidRDefault="00F620CF" w:rsidP="001F2D1F">
            <w:pPr>
              <w:keepNext/>
              <w:keepLines/>
              <w:widowControl w:val="0"/>
              <w:adjustRightInd w:val="0"/>
              <w:jc w:val="center"/>
              <w:textAlignment w:val="baseline"/>
              <w:rPr>
                <w:sz w:val="22"/>
                <w:szCs w:val="22"/>
              </w:rPr>
            </w:pPr>
            <w:r w:rsidRPr="00DD60B5">
              <w:rPr>
                <w:sz w:val="22"/>
                <w:szCs w:val="22"/>
              </w:rPr>
              <w:t>$</w:t>
            </w:r>
            <w:r w:rsidR="00F209F3">
              <w:rPr>
                <w:sz w:val="22"/>
                <w:szCs w:val="22"/>
              </w:rPr>
              <w:t xml:space="preserve"> </w:t>
            </w:r>
            <w:r w:rsidR="009A283A">
              <w:rPr>
                <w:sz w:val="22"/>
                <w:szCs w:val="22"/>
              </w:rPr>
              <w:t>3.0</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F209F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9 through 6-30</w:t>
            </w:r>
            <w:r w:rsidR="00F620CF" w:rsidRPr="0009706B">
              <w:rPr>
                <w:sz w:val="22"/>
                <w:szCs w:val="22"/>
              </w:rPr>
              <w:t>-2019</w:t>
            </w:r>
          </w:p>
        </w:tc>
        <w:tc>
          <w:tcPr>
            <w:tcW w:w="2880" w:type="dxa"/>
          </w:tcPr>
          <w:p w:rsidR="00F620CF" w:rsidRPr="00490376" w:rsidRDefault="003337E2" w:rsidP="001F2D1F">
            <w:pPr>
              <w:keepNext/>
              <w:keepLines/>
              <w:widowControl w:val="0"/>
              <w:adjustRightInd w:val="0"/>
              <w:jc w:val="center"/>
              <w:textAlignment w:val="baseline"/>
              <w:rPr>
                <w:sz w:val="22"/>
                <w:szCs w:val="22"/>
              </w:rPr>
            </w:pPr>
            <w:r>
              <w:rPr>
                <w:sz w:val="22"/>
                <w:szCs w:val="22"/>
              </w:rPr>
              <w:t xml:space="preserve">$ </w:t>
            </w:r>
            <w:r w:rsidR="009A283A">
              <w:rPr>
                <w:sz w:val="22"/>
                <w:szCs w:val="22"/>
              </w:rPr>
              <w:t>3.0</w:t>
            </w:r>
            <w:r w:rsidR="00F620CF">
              <w:rPr>
                <w:sz w:val="22"/>
                <w:szCs w:val="22"/>
              </w:rPr>
              <w:t>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w:t>
      </w:r>
      <w:proofErr w:type="gramStart"/>
      <w:r w:rsidRPr="0009706B">
        <w:rPr>
          <w:sz w:val="22"/>
          <w:szCs w:val="22"/>
        </w:rPr>
        <w:t>is calculated</w:t>
      </w:r>
      <w:proofErr w:type="gramEnd"/>
      <w:r w:rsidRPr="0009706B">
        <w:rPr>
          <w:sz w:val="22"/>
          <w:szCs w:val="22"/>
        </w:rPr>
        <w:t xml:space="preserve">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Program Customer</w:t>
      </w:r>
      <w:r w:rsidRPr="0009706B">
        <w:rPr>
          <w:sz w:val="22"/>
          <w:szCs w:val="22"/>
        </w:rPr>
        <w:t xml:space="preserve">s) </w:t>
      </w:r>
      <w:r w:rsidR="00CE05BD" w:rsidRPr="0009706B">
        <w:rPr>
          <w:sz w:val="22"/>
          <w:szCs w:val="22"/>
        </w:rPr>
        <w:t xml:space="preserve"> </w:t>
      </w:r>
      <w:r w:rsidRPr="0009706B">
        <w:rPr>
          <w:sz w:val="22"/>
          <w:szCs w:val="22"/>
        </w:rPr>
        <w:t xml:space="preserve">X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proofErr w:type="gramStart"/>
      <w:r w:rsidRPr="0009706B">
        <w:rPr>
          <w:b/>
          <w:sz w:val="22"/>
          <w:szCs w:val="22"/>
        </w:rPr>
        <w:t>2.4</w:t>
      </w:r>
      <w:r w:rsidRPr="0009706B">
        <w:rPr>
          <w:b/>
          <w:sz w:val="22"/>
          <w:szCs w:val="22"/>
        </w:rPr>
        <w:tab/>
        <w:t>Adjustment to Care Management Payment.</w:t>
      </w:r>
      <w:proofErr w:type="gramEnd"/>
      <w:r w:rsidRPr="0009706B">
        <w:rPr>
          <w:b/>
          <w:sz w:val="22"/>
          <w:szCs w:val="22"/>
        </w:rPr>
        <w:t xml:space="preserve">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t>
      </w:r>
      <w:proofErr w:type="gramStart"/>
      <w:r w:rsidRPr="0009706B">
        <w:rPr>
          <w:color w:val="000000"/>
          <w:sz w:val="22"/>
          <w:szCs w:val="22"/>
        </w:rPr>
        <w:t>will be offset or paid in a future Care Management Payment</w:t>
      </w:r>
      <w:proofErr w:type="gramEnd"/>
      <w:r w:rsidRPr="0009706B">
        <w:rPr>
          <w:color w:val="000000"/>
          <w:sz w:val="22"/>
          <w:szCs w:val="22"/>
        </w:rPr>
        <w:t xml:space="preserve">.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 xml:space="preserve">Program </w:t>
      </w:r>
      <w:r w:rsidR="003D39DE" w:rsidRPr="0009706B">
        <w:rPr>
          <w:color w:val="000000"/>
          <w:sz w:val="22"/>
          <w:szCs w:val="22"/>
        </w:rPr>
        <w:lastRenderedPageBreak/>
        <w:t>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w:t>
      </w:r>
      <w:proofErr w:type="gramStart"/>
      <w:r w:rsidRPr="00BA53C0">
        <w:rPr>
          <w:color w:val="000000"/>
          <w:sz w:val="22"/>
          <w:szCs w:val="22"/>
        </w:rPr>
        <w:t>thirty (30) days</w:t>
      </w:r>
      <w:proofErr w:type="gramEnd"/>
      <w:r w:rsidRPr="00BA53C0">
        <w:rPr>
          <w:color w:val="000000"/>
          <w:sz w:val="22"/>
          <w:szCs w:val="22"/>
        </w:rPr>
        <w:t xml:space="preserve"> or more, the Practice will notify the CTC Board of Directors and the Plan. If more than thirty (30) days passes and the </w:t>
      </w:r>
      <w:r w:rsidR="00DC2487" w:rsidRPr="00BA53C0">
        <w:rPr>
          <w:color w:val="000000"/>
          <w:sz w:val="22"/>
          <w:szCs w:val="22"/>
        </w:rPr>
        <w:t xml:space="preserve">Program </w:t>
      </w:r>
      <w:proofErr w:type="gramStart"/>
      <w:r w:rsidR="00DC2487" w:rsidRPr="00BA53C0">
        <w:rPr>
          <w:color w:val="000000"/>
          <w:sz w:val="22"/>
          <w:szCs w:val="22"/>
        </w:rPr>
        <w:t xml:space="preserve">Provider </w:t>
      </w:r>
      <w:r w:rsidRPr="00BA53C0">
        <w:rPr>
          <w:color w:val="000000"/>
          <w:sz w:val="22"/>
          <w:szCs w:val="22"/>
        </w:rPr>
        <w:t xml:space="preserve"> has</w:t>
      </w:r>
      <w:proofErr w:type="gramEnd"/>
      <w:r w:rsidRPr="00BA53C0">
        <w:rPr>
          <w:color w:val="000000"/>
          <w:sz w:val="22"/>
          <w:szCs w:val="22"/>
        </w:rPr>
        <w:t xml:space="preserve">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w:t>
      </w:r>
      <w:proofErr w:type="gramStart"/>
      <w:r w:rsidRPr="00BA53C0">
        <w:rPr>
          <w:color w:val="000000"/>
          <w:sz w:val="22"/>
          <w:szCs w:val="22"/>
        </w:rPr>
        <w:t xml:space="preserve">2.50 which is the PMPM rate </w:t>
      </w:r>
      <w:r w:rsidR="004B7B6E" w:rsidRPr="00BA53C0">
        <w:rPr>
          <w:color w:val="000000"/>
          <w:sz w:val="22"/>
          <w:szCs w:val="22"/>
        </w:rPr>
        <w:t>for the Care Manger</w:t>
      </w:r>
      <w:proofErr w:type="gramEnd"/>
      <w:r w:rsidR="004B7B6E" w:rsidRPr="00BA53C0">
        <w:rPr>
          <w:color w:val="000000"/>
          <w:sz w:val="22"/>
          <w:szCs w:val="22"/>
        </w:rPr>
        <w:t xml:space="preserve">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proofErr w:type="gramStart"/>
      <w:r>
        <w:rPr>
          <w:b/>
          <w:color w:val="000000"/>
          <w:sz w:val="22"/>
          <w:szCs w:val="22"/>
        </w:rPr>
        <w:t>2.6</w:t>
      </w:r>
      <w:r w:rsidR="00FE657F" w:rsidRPr="0009706B">
        <w:rPr>
          <w:b/>
          <w:color w:val="000000"/>
          <w:sz w:val="22"/>
          <w:szCs w:val="22"/>
        </w:rPr>
        <w:tab/>
        <w:t>No Reconsideration.</w:t>
      </w:r>
      <w:proofErr w:type="gramEnd"/>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proofErr w:type="gramStart"/>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proofErr w:type="gramEnd"/>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proofErr w:type="gramStart"/>
      <w:r>
        <w:rPr>
          <w:b/>
          <w:sz w:val="22"/>
          <w:szCs w:val="22"/>
        </w:rPr>
        <w:t>High Risk Patient Lists</w:t>
      </w:r>
      <w:r w:rsidR="00724E88" w:rsidRPr="0009706B">
        <w:rPr>
          <w:sz w:val="22"/>
          <w:szCs w:val="22"/>
        </w:rPr>
        <w:t>.</w:t>
      </w:r>
      <w:proofErr w:type="gramEnd"/>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High Risk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proofErr w:type="gramStart"/>
      <w:r w:rsidRPr="00490376">
        <w:rPr>
          <w:b/>
          <w:color w:val="000000"/>
          <w:sz w:val="22"/>
          <w:szCs w:val="22"/>
        </w:rPr>
        <w:t>Payment Summary Report.</w:t>
      </w:r>
      <w:proofErr w:type="gramEnd"/>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proofErr w:type="gramStart"/>
      <w:r w:rsidRPr="00BA53C0">
        <w:rPr>
          <w:b/>
          <w:sz w:val="22"/>
          <w:szCs w:val="22"/>
        </w:rPr>
        <w:lastRenderedPageBreak/>
        <w:t>Emergency Room and Inpatient Activity</w:t>
      </w:r>
      <w:r w:rsidR="00724E88" w:rsidRPr="00BA53C0">
        <w:rPr>
          <w:b/>
          <w:sz w:val="22"/>
          <w:szCs w:val="22"/>
        </w:rPr>
        <w:t xml:space="preserve"> Reports.</w:t>
      </w:r>
      <w:proofErr w:type="gramEnd"/>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proofErr w:type="gramStart"/>
      <w:r w:rsidRPr="00BA53C0">
        <w:rPr>
          <w:b/>
          <w:sz w:val="22"/>
          <w:szCs w:val="22"/>
        </w:rPr>
        <w:t>Additional Reports.</w:t>
      </w:r>
      <w:proofErr w:type="gramEnd"/>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proofErr w:type="gramStart"/>
      <w:r>
        <w:rPr>
          <w:b/>
          <w:sz w:val="22"/>
          <w:szCs w:val="22"/>
        </w:rPr>
        <w:t>3.2</w:t>
      </w:r>
      <w:r>
        <w:rPr>
          <w:b/>
          <w:sz w:val="22"/>
          <w:szCs w:val="22"/>
        </w:rPr>
        <w:tab/>
        <w:t>Program Provider Reports</w:t>
      </w:r>
      <w:r w:rsidR="00F153C5">
        <w:rPr>
          <w:b/>
          <w:sz w:val="22"/>
          <w:szCs w:val="22"/>
        </w:rPr>
        <w:t>.</w:t>
      </w:r>
      <w:proofErr w:type="gramEnd"/>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953B88">
        <w:rPr>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Outcome </w:t>
      </w:r>
      <w:r w:rsidRPr="00F153C5">
        <w:rPr>
          <w:sz w:val="22"/>
          <w:szCs w:val="22"/>
        </w:rPr>
        <w:t xml:space="preserve"> Measures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A819C8"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hospitalized </w:t>
      </w:r>
    </w:p>
    <w:p w:rsidR="00F153C5"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seen in emergency department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A819C8">
        <w:rPr>
          <w:sz w:val="22"/>
          <w:szCs w:val="22"/>
        </w:rPr>
        <w:t xml:space="preserve">2 </w:t>
      </w:r>
      <w:r w:rsidRPr="00F153C5">
        <w:rPr>
          <w:sz w:val="22"/>
          <w:szCs w:val="22"/>
        </w:rPr>
        <w:t xml:space="preserve"> specialty group (including one compact with a </w:t>
      </w:r>
      <w:r w:rsidR="00A819C8">
        <w:rPr>
          <w:sz w:val="22"/>
          <w:szCs w:val="22"/>
        </w:rPr>
        <w:t>behavioral health provider</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953B88" w:rsidP="00067031">
      <w:pPr>
        <w:keepNext/>
        <w:keepLines/>
        <w:numPr>
          <w:ilvl w:val="0"/>
          <w:numId w:val="39"/>
        </w:numPr>
        <w:adjustRightInd w:val="0"/>
        <w:ind w:left="1094" w:hanging="187"/>
        <w:textAlignment w:val="baseline"/>
        <w:rPr>
          <w:sz w:val="22"/>
          <w:szCs w:val="22"/>
        </w:rPr>
      </w:pPr>
      <w:r>
        <w:rPr>
          <w:sz w:val="22"/>
          <w:szCs w:val="22"/>
        </w:rPr>
        <w:t>Quality improvement reports (quality, customer experience, utilization)</w:t>
      </w:r>
      <w:r w:rsidR="00EA4DDE">
        <w:rPr>
          <w:sz w:val="22"/>
          <w:szCs w:val="22"/>
        </w:rPr>
        <w:t xml:space="preserve"> </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Coordinator </w:t>
      </w:r>
      <w:r w:rsidRPr="00F153C5">
        <w:rPr>
          <w:sz w:val="22"/>
          <w:szCs w:val="22"/>
        </w:rPr>
        <w:t xml:space="preserve"> </w:t>
      </w:r>
      <w:r w:rsidR="00A819C8">
        <w:rPr>
          <w:sz w:val="22"/>
          <w:szCs w:val="22"/>
        </w:rPr>
        <w:t xml:space="preserve">Engagement/FTE Report </w:t>
      </w:r>
      <w:r w:rsidRPr="00F153C5">
        <w:rPr>
          <w:sz w:val="22"/>
          <w:szCs w:val="22"/>
        </w:rPr>
        <w:t xml:space="preserve">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60124A" w:rsidRPr="00F46670" w:rsidRDefault="0060124A" w:rsidP="0060124A">
      <w:pPr>
        <w:tabs>
          <w:tab w:val="left" w:pos="0"/>
        </w:tabs>
        <w:jc w:val="both"/>
        <w:rPr>
          <w:i/>
          <w:color w:val="FF0000"/>
          <w:sz w:val="22"/>
        </w:rPr>
      </w:pPr>
      <w:r w:rsidRPr="00F76AD9">
        <w:rPr>
          <w:color w:val="000000"/>
          <w:sz w:val="22"/>
          <w:szCs w:val="22"/>
        </w:rPr>
        <w:t>HEALTHPLAN</w:t>
      </w:r>
      <w:r w:rsidRPr="00F46670">
        <w:rPr>
          <w:sz w:val="22"/>
        </w:rPr>
        <w:t xml:space="preserve"> will determine the Performance Incentive Bonus in accordance with the methodology set forth </w:t>
      </w:r>
      <w:r>
        <w:rPr>
          <w:sz w:val="22"/>
        </w:rPr>
        <w:t xml:space="preserve">online at </w:t>
      </w:r>
      <w:hyperlink r:id="rId14" w:history="1">
        <w:r w:rsidRPr="002C2ED6">
          <w:rPr>
            <w:rStyle w:val="Hyperlink"/>
            <w:sz w:val="22"/>
          </w:rPr>
          <w:t>www.ctc-ri.org</w:t>
        </w:r>
      </w:hyperlink>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tabs>
          <w:tab w:val="left" w:pos="0"/>
        </w:tabs>
        <w:jc w:val="both"/>
        <w:rPr>
          <w:i/>
          <w:color w:val="FF0000"/>
          <w:sz w:val="22"/>
        </w:rPr>
      </w:pPr>
      <w:r w:rsidRPr="00F46670">
        <w:rPr>
          <w:sz w:val="22"/>
        </w:rPr>
        <w:t xml:space="preserve">  </w:t>
      </w:r>
    </w:p>
    <w:p w:rsidR="001116B5" w:rsidRPr="00F46670" w:rsidRDefault="001116B5" w:rsidP="001116B5">
      <w:pPr>
        <w:ind w:left="720"/>
        <w:jc w:val="both"/>
        <w:rPr>
          <w:sz w:val="22"/>
        </w:rPr>
      </w:pPr>
    </w:p>
    <w:p w:rsidR="009B374F" w:rsidRDefault="00033898" w:rsidP="00F46670">
      <w:pPr>
        <w:ind w:left="720"/>
        <w:jc w:val="both"/>
        <w:rPr>
          <w:sz w:val="22"/>
          <w:szCs w:val="22"/>
        </w:rPr>
      </w:pPr>
      <w:proofErr w:type="gramStart"/>
      <w:r w:rsidRPr="00BA53C0">
        <w:rPr>
          <w:b/>
          <w:sz w:val="22"/>
        </w:rPr>
        <w:t>4.1</w:t>
      </w:r>
      <w:r w:rsidRPr="00BA53C0">
        <w:rPr>
          <w:b/>
          <w:sz w:val="22"/>
        </w:rPr>
        <w:tab/>
      </w:r>
      <w:r w:rsidR="001116B5" w:rsidRPr="00BA53C0">
        <w:rPr>
          <w:b/>
          <w:sz w:val="22"/>
        </w:rPr>
        <w:t>Performance Incentive Bonus Due Date</w:t>
      </w:r>
      <w:r w:rsidR="001116B5" w:rsidRPr="00BA53C0">
        <w:rPr>
          <w:sz w:val="22"/>
        </w:rPr>
        <w:t>.</w:t>
      </w:r>
      <w:proofErr w:type="gramEnd"/>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proofErr w:type="spellStart"/>
      <w:r w:rsidR="0078706F" w:rsidRPr="00CB127E">
        <w:rPr>
          <w:sz w:val="22"/>
          <w:szCs w:val="22"/>
          <w:highlight w:val="yellow"/>
        </w:rPr>
        <w:t>Healthplan</w:t>
      </w:r>
      <w:proofErr w:type="spellEnd"/>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 xml:space="preserve">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due to the failure of Provider to meet its notice requirements as set forth </w:t>
      </w:r>
      <w:r w:rsidR="00953B88">
        <w:rPr>
          <w:sz w:val="22"/>
          <w:szCs w:val="22"/>
        </w:rPr>
        <w:t>online at www.ctc-ri.org</w:t>
      </w:r>
      <w:r w:rsidR="009B374F" w:rsidRPr="00BA53C0">
        <w:rPr>
          <w:sz w:val="22"/>
          <w:szCs w:val="22"/>
        </w:rPr>
        <w:t xml:space="preserve"> 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proofErr w:type="gramStart"/>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proofErr w:type="gramEnd"/>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w:t>
      </w:r>
      <w:proofErr w:type="gramStart"/>
      <w:r w:rsidR="003B0037" w:rsidRPr="0009706B">
        <w:rPr>
          <w:sz w:val="22"/>
          <w:szCs w:val="22"/>
        </w:rPr>
        <w:t xml:space="preserve">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w:t>
      </w:r>
      <w:proofErr w:type="gramEnd"/>
      <w:r w:rsidR="00724E88" w:rsidRPr="0009706B">
        <w:rPr>
          <w:sz w:val="22"/>
          <w:szCs w:val="22"/>
        </w:rPr>
        <w:t xml:space="preserve">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lastRenderedPageBreak/>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proofErr w:type="gramStart"/>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w:t>
      </w:r>
      <w:proofErr w:type="gramEnd"/>
      <w:r w:rsidR="00724E88" w:rsidRPr="0009706B">
        <w:rPr>
          <w:b/>
          <w:sz w:val="22"/>
          <w:szCs w:val="22"/>
        </w:rPr>
        <w:t xml:space="preserve">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proofErr w:type="gramStart"/>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w:t>
      </w:r>
      <w:proofErr w:type="gramEnd"/>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proofErr w:type="gramStart"/>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w:t>
      </w:r>
      <w:proofErr w:type="gramEnd"/>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proofErr w:type="spellStart"/>
      <w:r w:rsidR="00D0054A" w:rsidRPr="004A494B">
        <w:rPr>
          <w:color w:val="000000"/>
          <w:sz w:val="22"/>
          <w:szCs w:val="22"/>
          <w:highlight w:val="yellow"/>
        </w:rPr>
        <w:t>HEALTHPLAN</w:t>
      </w:r>
      <w:r w:rsidR="0078706F">
        <w:rPr>
          <w:sz w:val="22"/>
          <w:szCs w:val="22"/>
        </w:rPr>
        <w:t>and</w:t>
      </w:r>
      <w:proofErr w:type="spellEnd"/>
      <w:r w:rsidR="0078706F">
        <w:rPr>
          <w:sz w:val="22"/>
          <w:szCs w:val="22"/>
        </w:rPr>
        <w:t xml:space="preserve">/or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953B88">
        <w:rPr>
          <w:sz w:val="22"/>
        </w:rPr>
        <w:t>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proofErr w:type="gramStart"/>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proofErr w:type="gramEnd"/>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and </w:t>
      </w:r>
      <w:r w:rsidR="003B6522">
        <w:rPr>
          <w:sz w:val="22"/>
          <w:szCs w:val="22"/>
        </w:rPr>
        <w:t xml:space="preserve"> plan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w:t>
      </w:r>
      <w:proofErr w:type="gramStart"/>
      <w:r w:rsidRPr="0009706B">
        <w:rPr>
          <w:sz w:val="22"/>
          <w:szCs w:val="22"/>
        </w:rPr>
        <w:t>incentive</w:t>
      </w:r>
      <w:proofErr w:type="gramEnd"/>
      <w:r w:rsidRPr="0009706B">
        <w:rPr>
          <w:sz w:val="22"/>
          <w:szCs w:val="22"/>
        </w:rPr>
        <w:t xml:space="preser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With at least 30 days prior written notice to Program Provider, if Rhode Island Care 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proofErr w:type="gramStart"/>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ither Party.</w:t>
      </w:r>
      <w:proofErr w:type="gramEnd"/>
      <w:r w:rsidR="00724E88" w:rsidRPr="0009706B">
        <w:rPr>
          <w:b/>
          <w:sz w:val="22"/>
          <w:szCs w:val="22"/>
        </w:rPr>
        <w:t xml:space="preserve">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proofErr w:type="gramStart"/>
      <w:r w:rsidRPr="0009706B">
        <w:rPr>
          <w:sz w:val="22"/>
          <w:szCs w:val="22"/>
        </w:rPr>
        <w:t>upon</w:t>
      </w:r>
      <w:proofErr w:type="gramEnd"/>
      <w:r w:rsidRPr="0009706B">
        <w:rPr>
          <w:sz w:val="22"/>
          <w:szCs w:val="22"/>
        </w:rPr>
        <w:t xml:space="preserve">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w:t>
      </w:r>
      <w:proofErr w:type="spellStart"/>
      <w:r w:rsidR="00724E88" w:rsidRPr="0009706B">
        <w:rPr>
          <w:sz w:val="22"/>
          <w:szCs w:val="22"/>
        </w:rPr>
        <w:t>days notice</w:t>
      </w:r>
      <w:proofErr w:type="spellEnd"/>
      <w:r w:rsidR="00724E88" w:rsidRPr="0009706B">
        <w:rPr>
          <w:sz w:val="22"/>
          <w:szCs w:val="22"/>
        </w:rPr>
        <w:t xml:space="preserve"> period. </w:t>
      </w:r>
      <w:r w:rsidR="00360D51" w:rsidRPr="0009706B">
        <w:rPr>
          <w:sz w:val="22"/>
          <w:szCs w:val="22"/>
        </w:rPr>
        <w:t xml:space="preserve"> </w:t>
      </w:r>
      <w:r w:rsidR="00724E88" w:rsidRPr="0009706B">
        <w:rPr>
          <w:sz w:val="22"/>
          <w:szCs w:val="22"/>
        </w:rPr>
        <w:t xml:space="preserve">Termination under this Section </w:t>
      </w:r>
      <w:proofErr w:type="gramStart"/>
      <w:r w:rsidR="00724E88" w:rsidRPr="0009706B">
        <w:rPr>
          <w:sz w:val="22"/>
          <w:szCs w:val="22"/>
        </w:rPr>
        <w:t>will not be deferred</w:t>
      </w:r>
      <w:proofErr w:type="gramEnd"/>
      <w:r w:rsidR="00724E88" w:rsidRPr="0009706B">
        <w:rPr>
          <w:sz w:val="22"/>
          <w:szCs w:val="22"/>
        </w:rPr>
        <w:t xml:space="preserve">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lastRenderedPageBreak/>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proofErr w:type="gramStart"/>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Automatic Termination.</w:t>
      </w:r>
      <w:proofErr w:type="gramEnd"/>
      <w:r w:rsidR="00724E88" w:rsidRPr="0009706B">
        <w:rPr>
          <w:b/>
          <w:sz w:val="22"/>
          <w:szCs w:val="22"/>
        </w:rPr>
        <w:t xml:space="preserve">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proofErr w:type="gramStart"/>
      <w:r>
        <w:rPr>
          <w:b/>
          <w:sz w:val="22"/>
          <w:szCs w:val="22"/>
        </w:rPr>
        <w:t>6</w:t>
      </w:r>
      <w:r w:rsidR="00724E88" w:rsidRPr="0009706B">
        <w:rPr>
          <w:b/>
          <w:sz w:val="22"/>
          <w:szCs w:val="22"/>
        </w:rPr>
        <w:t>.4</w:t>
      </w:r>
      <w:r w:rsidR="00724E88" w:rsidRPr="0009706B">
        <w:rPr>
          <w:b/>
          <w:sz w:val="22"/>
          <w:szCs w:val="22"/>
        </w:rPr>
        <w:tab/>
        <w:t>Effect of Termination on Care Management Payments.</w:t>
      </w:r>
      <w:proofErr w:type="gramEnd"/>
      <w:r w:rsidR="00724E88" w:rsidRPr="0009706B">
        <w:rPr>
          <w:b/>
          <w:sz w:val="22"/>
          <w:szCs w:val="22"/>
        </w:rPr>
        <w:t xml:space="preserve">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proofErr w:type="gramStart"/>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w:t>
      </w:r>
      <w:proofErr w:type="gramEnd"/>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w:t>
      </w:r>
      <w:proofErr w:type="gramStart"/>
      <w:r w:rsidR="007002D8" w:rsidRPr="0009706B">
        <w:rPr>
          <w:sz w:val="22"/>
          <w:szCs w:val="22"/>
        </w:rPr>
        <w:t>impact</w:t>
      </w:r>
      <w:proofErr w:type="gramEnd"/>
      <w:r w:rsidR="007002D8" w:rsidRPr="0009706B">
        <w:rPr>
          <w:sz w:val="22"/>
          <w:szCs w:val="22"/>
        </w:rPr>
        <w:t xml:space="preserve">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953B88" w:rsidRPr="0009706B" w:rsidDel="00010529" w:rsidRDefault="00724E88" w:rsidP="00953B88">
      <w:pPr>
        <w:jc w:val="center"/>
        <w:rPr>
          <w:b/>
          <w:bCs/>
          <w:sz w:val="22"/>
          <w:szCs w:val="22"/>
        </w:rPr>
      </w:pPr>
      <w:r w:rsidRPr="00DD60B5">
        <w:rPr>
          <w:b/>
          <w:sz w:val="22"/>
          <w:szCs w:val="22"/>
        </w:rPr>
        <w:br w:type="page"/>
      </w:r>
    </w:p>
    <w:p w:rsidR="00925F4A" w:rsidRPr="00925F4A" w:rsidRDefault="00010529" w:rsidP="00925F4A">
      <w:pPr>
        <w:ind w:left="720" w:hanging="720"/>
        <w:jc w:val="center"/>
        <w:rPr>
          <w:b/>
          <w:sz w:val="22"/>
          <w:szCs w:val="22"/>
          <w:u w:val="single"/>
        </w:rPr>
      </w:pPr>
      <w:r w:rsidRPr="0009706B" w:rsidDel="00010529">
        <w:rPr>
          <w:b/>
          <w:bCs/>
          <w:sz w:val="22"/>
          <w:szCs w:val="22"/>
        </w:rPr>
        <w:t xml:space="preserve"> </w:t>
      </w:r>
      <w:r w:rsidR="00925F4A" w:rsidRPr="00925F4A">
        <w:rPr>
          <w:b/>
          <w:sz w:val="22"/>
          <w:szCs w:val="22"/>
        </w:rPr>
        <w:t xml:space="preserve">ATTRIBUTION METHOD </w:t>
      </w:r>
      <w:r w:rsidR="00925F4A" w:rsidRPr="00F46670">
        <w:rPr>
          <w:b/>
          <w:sz w:val="22"/>
          <w:highlight w:val="green"/>
        </w:rPr>
        <w:t>EXHIBIT</w:t>
      </w:r>
      <w:r w:rsidR="00804C12">
        <w:rPr>
          <w:b/>
          <w:sz w:val="22"/>
          <w:szCs w:val="22"/>
          <w:highlight w:val="green"/>
        </w:rPr>
        <w:t xml:space="preserve"> </w:t>
      </w:r>
      <w:r w:rsidR="00804C12">
        <w:rPr>
          <w:b/>
          <w:sz w:val="22"/>
          <w:szCs w:val="22"/>
        </w:rPr>
        <w:t>1</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804C12">
        <w:rPr>
          <w:b/>
          <w:bCs/>
          <w:sz w:val="22"/>
          <w:szCs w:val="22"/>
        </w:rPr>
        <w:t xml:space="preserve"> 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 xml:space="preserve">erformance Measures and Performance </w:t>
      </w:r>
      <w:proofErr w:type="gramStart"/>
      <w:r w:rsidR="0040671A" w:rsidRPr="00F46670">
        <w:rPr>
          <w:color w:val="000000"/>
          <w:sz w:val="22"/>
        </w:rPr>
        <w:t>Score</w:t>
      </w:r>
      <w:proofErr w:type="gramEnd"/>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w:t>
      </w:r>
      <w:proofErr w:type="gramStart"/>
      <w:r w:rsidRPr="00F46670">
        <w:rPr>
          <w:sz w:val="22"/>
        </w:rPr>
        <w:t>Score</w:t>
      </w:r>
      <w:proofErr w:type="gramEnd"/>
      <w:r w:rsidRPr="00F46670">
        <w:rPr>
          <w:sz w:val="22"/>
        </w:rPr>
        <w:t xml:space="preserve">.  </w:t>
      </w:r>
    </w:p>
    <w:p w:rsidR="002F3961" w:rsidRPr="00F46670" w:rsidRDefault="002F3961" w:rsidP="00F46670">
      <w:pPr>
        <w:autoSpaceDE w:val="0"/>
        <w:autoSpaceDN w:val="0"/>
        <w:adjustRightInd w:val="0"/>
        <w:ind w:right="18"/>
        <w:jc w:val="both"/>
        <w:rPr>
          <w:sz w:val="22"/>
        </w:rPr>
      </w:pPr>
    </w:p>
    <w:p w:rsidR="00F76AD9" w:rsidRPr="00CB127E" w:rsidRDefault="002F3961" w:rsidP="00013ED1">
      <w:pPr>
        <w:autoSpaceDE w:val="0"/>
        <w:autoSpaceDN w:val="0"/>
        <w:adjustRightInd w:val="0"/>
        <w:ind w:left="720" w:right="18"/>
        <w:jc w:val="center"/>
        <w:rPr>
          <w:b/>
          <w:sz w:val="22"/>
          <w:szCs w:val="22"/>
        </w:rPr>
      </w:pPr>
      <w:r w:rsidRPr="00CB127E">
        <w:rPr>
          <w:b/>
          <w:sz w:val="22"/>
          <w:szCs w:val="22"/>
        </w:rPr>
        <w:t>Performance Incentive Table</w:t>
      </w:r>
    </w:p>
    <w:p w:rsidR="002F3961" w:rsidRPr="00CB127E" w:rsidRDefault="002F3961" w:rsidP="00F46670">
      <w:pPr>
        <w:autoSpaceDE w:val="0"/>
        <w:autoSpaceDN w:val="0"/>
        <w:adjustRightInd w:val="0"/>
        <w:ind w:left="720" w:right="18"/>
        <w:jc w:val="center"/>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tbl>
      <w:tblPr>
        <w:tblStyle w:val="TableGrid"/>
        <w:tblW w:w="0" w:type="auto"/>
        <w:tblInd w:w="1638" w:type="dxa"/>
        <w:tblLayout w:type="fixed"/>
        <w:tblLook w:val="04A0" w:firstRow="1" w:lastRow="0" w:firstColumn="1" w:lastColumn="0" w:noHBand="0" w:noVBand="1"/>
      </w:tblPr>
      <w:tblGrid>
        <w:gridCol w:w="1554"/>
        <w:gridCol w:w="3192"/>
        <w:gridCol w:w="1554"/>
      </w:tblGrid>
      <w:tr w:rsidR="00486A37" w:rsidRPr="00CB127E" w:rsidTr="001F2D1F">
        <w:tc>
          <w:tcPr>
            <w:tcW w:w="1554"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Measurement Period</w:t>
            </w:r>
          </w:p>
        </w:tc>
        <w:tc>
          <w:tcPr>
            <w:tcW w:w="3192"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Performance  Measure</w:t>
            </w:r>
          </w:p>
        </w:tc>
        <w:tc>
          <w:tcPr>
            <w:tcW w:w="1554"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Performance Incentive Bonus PMPM</w:t>
            </w:r>
          </w:p>
        </w:tc>
      </w:tr>
      <w:tr w:rsidR="00486A37" w:rsidTr="001F2D1F">
        <w:tc>
          <w:tcPr>
            <w:tcW w:w="1554" w:type="dxa"/>
            <w:tcBorders>
              <w:top w:val="thinThickSmallGap" w:sz="24" w:space="0" w:color="auto"/>
              <w:left w:val="single" w:sz="4" w:space="0" w:color="auto"/>
              <w:bottom w:val="thinThickSmallGap" w:sz="24" w:space="0" w:color="auto"/>
              <w:right w:val="single" w:sz="4" w:space="0" w:color="auto"/>
            </w:tcBorders>
          </w:tcPr>
          <w:p w:rsidR="00486A37" w:rsidRDefault="001F2D1F" w:rsidP="001F2D1F">
            <w:pPr>
              <w:jc w:val="center"/>
              <w:rPr>
                <w:b/>
                <w:bCs/>
                <w:sz w:val="22"/>
                <w:szCs w:val="22"/>
              </w:rPr>
            </w:pPr>
            <w:r>
              <w:rPr>
                <w:b/>
                <w:bCs/>
                <w:sz w:val="22"/>
                <w:szCs w:val="22"/>
              </w:rPr>
              <w:t>MP2</w:t>
            </w:r>
          </w:p>
        </w:tc>
        <w:tc>
          <w:tcPr>
            <w:tcW w:w="3192" w:type="dxa"/>
            <w:tcBorders>
              <w:top w:val="thinThickSmallGap" w:sz="24" w:space="0" w:color="auto"/>
              <w:left w:val="single" w:sz="4" w:space="0" w:color="auto"/>
              <w:bottom w:val="thinThickSmallGap" w:sz="24" w:space="0" w:color="auto"/>
              <w:right w:val="single" w:sz="4" w:space="0" w:color="auto"/>
            </w:tcBorders>
          </w:tcPr>
          <w:p w:rsidR="00486A37" w:rsidRDefault="005766C0" w:rsidP="00925F4A">
            <w:pPr>
              <w:rPr>
                <w:b/>
                <w:bCs/>
                <w:sz w:val="22"/>
                <w:szCs w:val="22"/>
              </w:rPr>
            </w:pPr>
            <w:r>
              <w:rPr>
                <w:rFonts w:ascii="Cambria" w:hAnsi="Cambria"/>
                <w:sz w:val="20"/>
                <w:szCs w:val="20"/>
              </w:rPr>
              <w:t>Reducing ED visits/</w:t>
            </w:r>
            <w:r w:rsidR="001F2D1F">
              <w:rPr>
                <w:rFonts w:ascii="Cambria" w:hAnsi="Cambria"/>
                <w:sz w:val="20"/>
                <w:szCs w:val="20"/>
              </w:rPr>
              <w:t xml:space="preserve"> meeting quality benchmarks</w:t>
            </w:r>
          </w:p>
        </w:tc>
        <w:tc>
          <w:tcPr>
            <w:tcW w:w="1554" w:type="dxa"/>
            <w:tcBorders>
              <w:top w:val="thinThickSmallGap" w:sz="24" w:space="0" w:color="auto"/>
              <w:left w:val="single" w:sz="4" w:space="0" w:color="auto"/>
              <w:bottom w:val="thinThickSmallGap" w:sz="24" w:space="0" w:color="auto"/>
              <w:right w:val="single" w:sz="4" w:space="0" w:color="auto"/>
            </w:tcBorders>
          </w:tcPr>
          <w:p w:rsidR="00486A37" w:rsidRDefault="001F2D1F" w:rsidP="001F2D1F">
            <w:pPr>
              <w:jc w:val="center"/>
              <w:rPr>
                <w:b/>
                <w:bCs/>
                <w:sz w:val="22"/>
                <w:szCs w:val="22"/>
              </w:rPr>
            </w:pPr>
            <w:r>
              <w:rPr>
                <w:b/>
                <w:bCs/>
                <w:sz w:val="22"/>
                <w:szCs w:val="22"/>
              </w:rPr>
              <w:t>$0.50</w:t>
            </w:r>
          </w:p>
        </w:tc>
      </w:tr>
      <w:tr w:rsidR="001F2D1F" w:rsidTr="001F2D1F">
        <w:tc>
          <w:tcPr>
            <w:tcW w:w="1554" w:type="dxa"/>
            <w:tcBorders>
              <w:top w:val="thinThickSmallGap" w:sz="24" w:space="0" w:color="auto"/>
            </w:tcBorders>
          </w:tcPr>
          <w:p w:rsidR="001F2D1F" w:rsidRDefault="001F2D1F" w:rsidP="001F2D1F">
            <w:pPr>
              <w:jc w:val="center"/>
              <w:rPr>
                <w:b/>
                <w:bCs/>
                <w:sz w:val="22"/>
                <w:szCs w:val="22"/>
              </w:rPr>
            </w:pPr>
            <w:r>
              <w:rPr>
                <w:b/>
                <w:bCs/>
                <w:sz w:val="22"/>
                <w:szCs w:val="22"/>
              </w:rPr>
              <w:t>MP3</w:t>
            </w:r>
          </w:p>
        </w:tc>
        <w:tc>
          <w:tcPr>
            <w:tcW w:w="3192" w:type="dxa"/>
            <w:tcBorders>
              <w:top w:val="thinThickSmallGap" w:sz="24" w:space="0" w:color="auto"/>
            </w:tcBorders>
          </w:tcPr>
          <w:p w:rsidR="001F2D1F" w:rsidRDefault="005766C0" w:rsidP="00C320EF">
            <w:pPr>
              <w:rPr>
                <w:b/>
                <w:bCs/>
                <w:sz w:val="22"/>
                <w:szCs w:val="22"/>
              </w:rPr>
            </w:pPr>
            <w:r>
              <w:rPr>
                <w:rFonts w:ascii="Cambria" w:hAnsi="Cambria"/>
                <w:sz w:val="20"/>
                <w:szCs w:val="20"/>
              </w:rPr>
              <w:t>Reducing ED visits/</w:t>
            </w:r>
            <w:r w:rsidR="001F2D1F">
              <w:rPr>
                <w:rFonts w:ascii="Cambria" w:hAnsi="Cambria"/>
                <w:sz w:val="20"/>
                <w:szCs w:val="20"/>
              </w:rPr>
              <w:t xml:space="preserve"> meeting quality benchmarks</w:t>
            </w:r>
          </w:p>
        </w:tc>
        <w:tc>
          <w:tcPr>
            <w:tcW w:w="1554" w:type="dxa"/>
            <w:tcBorders>
              <w:top w:val="thinThickSmallGap" w:sz="24" w:space="0" w:color="auto"/>
            </w:tcBorders>
          </w:tcPr>
          <w:p w:rsidR="001F2D1F" w:rsidRDefault="001F2D1F" w:rsidP="001F2D1F">
            <w:pPr>
              <w:jc w:val="center"/>
              <w:rPr>
                <w:b/>
                <w:bCs/>
                <w:sz w:val="22"/>
                <w:szCs w:val="22"/>
              </w:rPr>
            </w:pPr>
            <w:r>
              <w:rPr>
                <w:b/>
                <w:bCs/>
                <w:sz w:val="22"/>
                <w:szCs w:val="22"/>
              </w:rPr>
              <w:t>$0.50</w:t>
            </w:r>
          </w:p>
        </w:tc>
      </w:tr>
    </w:tbl>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925F4A" w:rsidRPr="00925F4A" w:rsidRDefault="00925F4A" w:rsidP="00925F4A">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804C12">
        <w:rPr>
          <w:b/>
          <w:bCs/>
          <w:sz w:val="22"/>
          <w:szCs w:val="22"/>
        </w:rPr>
        <w:t xml:space="preserve"> 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t>
      </w:r>
      <w:proofErr w:type="gramStart"/>
      <w:r w:rsidRPr="00910F77">
        <w:rPr>
          <w:szCs w:val="22"/>
        </w:rPr>
        <w:t>will be added</w:t>
      </w:r>
      <w:proofErr w:type="gramEnd"/>
      <w:r w:rsidRPr="00910F77">
        <w:rPr>
          <w:szCs w:val="22"/>
        </w:rPr>
        <w:t xml:space="preserve">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w:t>
      </w:r>
      <w:proofErr w:type="gramStart"/>
      <w:r w:rsidRPr="00910F77">
        <w:rPr>
          <w:szCs w:val="22"/>
        </w:rPr>
        <w:t xml:space="preserve">for </w:t>
      </w:r>
      <w:r w:rsidR="00314D13">
        <w:rPr>
          <w:szCs w:val="22"/>
        </w:rPr>
        <w:t xml:space="preserve"> </w:t>
      </w:r>
      <w:r w:rsidR="00314D13" w:rsidRPr="00314D13">
        <w:rPr>
          <w:szCs w:val="22"/>
          <w:highlight w:val="yellow"/>
        </w:rPr>
        <w:t>PLAN</w:t>
      </w:r>
      <w:proofErr w:type="gramEnd"/>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5E" w:rsidRDefault="00772D5E">
      <w:r>
        <w:separator/>
      </w:r>
    </w:p>
  </w:endnote>
  <w:endnote w:type="continuationSeparator" w:id="0">
    <w:p w:rsidR="00772D5E" w:rsidRDefault="00772D5E">
      <w:r>
        <w:continuationSeparator/>
      </w:r>
    </w:p>
  </w:endnote>
  <w:endnote w:type="continuationNotice" w:id="1">
    <w:p w:rsidR="00772D5E" w:rsidRDefault="0077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37" w:rsidRDefault="00486A37">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4B76">
          <w:rPr>
            <w:noProof/>
          </w:rPr>
          <w:t>2</w:t>
        </w:r>
        <w:r>
          <w:rPr>
            <w:noProof/>
          </w:rPr>
          <w:fldChar w:fldCharType="end"/>
        </w:r>
      </w:sdtContent>
    </w:sdt>
  </w:p>
  <w:p w:rsidR="00486A37" w:rsidRPr="006B760E" w:rsidRDefault="00486A37" w:rsidP="009A29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5E" w:rsidRDefault="00772D5E">
      <w:r>
        <w:separator/>
      </w:r>
    </w:p>
  </w:footnote>
  <w:footnote w:type="continuationSeparator" w:id="0">
    <w:p w:rsidR="00772D5E" w:rsidRDefault="00772D5E">
      <w:r>
        <w:continuationSeparator/>
      </w:r>
    </w:p>
  </w:footnote>
  <w:footnote w:type="continuationNotice" w:id="1">
    <w:p w:rsidR="00772D5E" w:rsidRDefault="00772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5">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6">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5">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5">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1"/>
  </w:num>
  <w:num w:numId="4">
    <w:abstractNumId w:val="6"/>
  </w:num>
  <w:num w:numId="5">
    <w:abstractNumId w:val="32"/>
  </w:num>
  <w:num w:numId="6">
    <w:abstractNumId w:val="3"/>
  </w:num>
  <w:num w:numId="7">
    <w:abstractNumId w:val="26"/>
  </w:num>
  <w:num w:numId="8">
    <w:abstractNumId w:val="4"/>
  </w:num>
  <w:num w:numId="9">
    <w:abstractNumId w:val="5"/>
  </w:num>
  <w:num w:numId="10">
    <w:abstractNumId w:val="10"/>
  </w:num>
  <w:num w:numId="11">
    <w:abstractNumId w:val="24"/>
  </w:num>
  <w:num w:numId="12">
    <w:abstractNumId w:val="19"/>
  </w:num>
  <w:num w:numId="13">
    <w:abstractNumId w:val="16"/>
  </w:num>
  <w:num w:numId="14">
    <w:abstractNumId w:val="21"/>
  </w:num>
  <w:num w:numId="15">
    <w:abstractNumId w:val="33"/>
  </w:num>
  <w:num w:numId="16">
    <w:abstractNumId w:val="17"/>
  </w:num>
  <w:num w:numId="17">
    <w:abstractNumId w:val="9"/>
  </w:num>
  <w:num w:numId="18">
    <w:abstractNumId w:val="34"/>
  </w:num>
  <w:num w:numId="19">
    <w:abstractNumId w:val="0"/>
  </w:num>
  <w:num w:numId="20">
    <w:abstractNumId w:val="14"/>
  </w:num>
  <w:num w:numId="21">
    <w:abstractNumId w:val="31"/>
  </w:num>
  <w:num w:numId="22">
    <w:abstractNumId w:val="39"/>
  </w:num>
  <w:num w:numId="23">
    <w:abstractNumId w:val="30"/>
  </w:num>
  <w:num w:numId="24">
    <w:abstractNumId w:val="40"/>
  </w:num>
  <w:num w:numId="25">
    <w:abstractNumId w:val="36"/>
  </w:num>
  <w:num w:numId="26">
    <w:abstractNumId w:val="38"/>
  </w:num>
  <w:num w:numId="27">
    <w:abstractNumId w:val="29"/>
  </w:num>
  <w:num w:numId="28">
    <w:abstractNumId w:val="35"/>
  </w:num>
  <w:num w:numId="29">
    <w:abstractNumId w:val="22"/>
  </w:num>
  <w:num w:numId="30">
    <w:abstractNumId w:val="12"/>
  </w:num>
  <w:num w:numId="31">
    <w:abstractNumId w:val="8"/>
  </w:num>
  <w:num w:numId="32">
    <w:abstractNumId w:val="28"/>
  </w:num>
  <w:num w:numId="33">
    <w:abstractNumId w:val="1"/>
  </w:num>
  <w:num w:numId="34">
    <w:abstractNumId w:val="27"/>
  </w:num>
  <w:num w:numId="35">
    <w:abstractNumId w:val="15"/>
  </w:num>
  <w:num w:numId="36">
    <w:abstractNumId w:val="2"/>
  </w:num>
  <w:num w:numId="37">
    <w:abstractNumId w:val="25"/>
  </w:num>
  <w:num w:numId="38">
    <w:abstractNumId w:val="23"/>
  </w:num>
  <w:num w:numId="39">
    <w:abstractNumId w:val="18"/>
  </w:num>
  <w:num w:numId="40">
    <w:abstractNumId w:val="13"/>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55"/>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4CA0"/>
    <w:rsid w:val="001B52A7"/>
    <w:rsid w:val="001B5636"/>
    <w:rsid w:val="001B5FF9"/>
    <w:rsid w:val="001B6FE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2D1F"/>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3FD"/>
    <w:rsid w:val="00200477"/>
    <w:rsid w:val="00200C6D"/>
    <w:rsid w:val="00200C71"/>
    <w:rsid w:val="00200F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533"/>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B7D"/>
    <w:rsid w:val="002E2346"/>
    <w:rsid w:val="002E2DAD"/>
    <w:rsid w:val="002E3554"/>
    <w:rsid w:val="002E3647"/>
    <w:rsid w:val="002E36F8"/>
    <w:rsid w:val="002E3A92"/>
    <w:rsid w:val="002E3A99"/>
    <w:rsid w:val="002E4228"/>
    <w:rsid w:val="002E4E78"/>
    <w:rsid w:val="002E50FD"/>
    <w:rsid w:val="002E5A9E"/>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7E2"/>
    <w:rsid w:val="00333F40"/>
    <w:rsid w:val="00335586"/>
    <w:rsid w:val="003356EF"/>
    <w:rsid w:val="00335710"/>
    <w:rsid w:val="00335749"/>
    <w:rsid w:val="00335854"/>
    <w:rsid w:val="00335A99"/>
    <w:rsid w:val="00335AE3"/>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A37"/>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6C0"/>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6059"/>
    <w:rsid w:val="005C7391"/>
    <w:rsid w:val="005C7A39"/>
    <w:rsid w:val="005C7A5A"/>
    <w:rsid w:val="005C7ABE"/>
    <w:rsid w:val="005D076F"/>
    <w:rsid w:val="005D08E3"/>
    <w:rsid w:val="005D0DE9"/>
    <w:rsid w:val="005D0E86"/>
    <w:rsid w:val="005D0EEB"/>
    <w:rsid w:val="005D19CC"/>
    <w:rsid w:val="005D1F5E"/>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24A"/>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0F3E"/>
    <w:rsid w:val="006E16AE"/>
    <w:rsid w:val="006E2166"/>
    <w:rsid w:val="006E25C8"/>
    <w:rsid w:val="006E28F0"/>
    <w:rsid w:val="006E2FF9"/>
    <w:rsid w:val="006E3893"/>
    <w:rsid w:val="006E3D5B"/>
    <w:rsid w:val="006E420B"/>
    <w:rsid w:val="006E4477"/>
    <w:rsid w:val="006E48AB"/>
    <w:rsid w:val="006E48C6"/>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2D5E"/>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4C12"/>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85A"/>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3B88"/>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F9D"/>
    <w:rsid w:val="00967031"/>
    <w:rsid w:val="00967D52"/>
    <w:rsid w:val="0097059E"/>
    <w:rsid w:val="009705FB"/>
    <w:rsid w:val="0097114A"/>
    <w:rsid w:val="0097189C"/>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83A"/>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94B"/>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2B2F"/>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27E"/>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07"/>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3D9"/>
    <w:rsid w:val="00DA3479"/>
    <w:rsid w:val="00DA38FB"/>
    <w:rsid w:val="00DA3A68"/>
    <w:rsid w:val="00DA3D0A"/>
    <w:rsid w:val="00DA3F7C"/>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9F3"/>
    <w:rsid w:val="00F20C4C"/>
    <w:rsid w:val="00F20D54"/>
    <w:rsid w:val="00F211EE"/>
    <w:rsid w:val="00F21942"/>
    <w:rsid w:val="00F21BC9"/>
    <w:rsid w:val="00F227B4"/>
    <w:rsid w:val="00F22EDE"/>
    <w:rsid w:val="00F2324B"/>
    <w:rsid w:val="00F239BA"/>
    <w:rsid w:val="00F23BDA"/>
    <w:rsid w:val="00F24B76"/>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09B"/>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1894390793">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c-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B201-1600-49A6-9848-83224F6A0B9D}">
  <ds:schemaRefs>
    <ds:schemaRef ds:uri="http://www.w3.org/XML/1998/namespace"/>
    <ds:schemaRef ds:uri="http://purl.org/dc/elements/1.1/"/>
    <ds:schemaRef ds:uri="http://purl.org/dc/dcmitype/"/>
    <ds:schemaRef ds:uri="http://purl.org/dc/terms/"/>
    <ds:schemaRef ds:uri="35ec8e92-dfb0-4246-a42e-f80f91dc6220"/>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4.xml><?xml version="1.0" encoding="utf-8"?>
<ds:datastoreItem xmlns:ds="http://schemas.openxmlformats.org/officeDocument/2006/customXml" ds:itemID="{E1C38742-D1CD-43C0-AB0A-9AB5E135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3485</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Campbell, Susanne</cp:lastModifiedBy>
  <cp:revision>4</cp:revision>
  <cp:lastPrinted>2012-08-16T12:22:00Z</cp:lastPrinted>
  <dcterms:created xsi:type="dcterms:W3CDTF">2017-04-17T20:58:00Z</dcterms:created>
  <dcterms:modified xsi:type="dcterms:W3CDTF">2017-04-19T15:25:00Z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