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D9274C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Minutes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BD471B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BD471B">
              <w:rPr>
                <w:color w:val="000080"/>
              </w:rPr>
              <w:t>November 8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A0AFE">
        <w:trPr>
          <w:trHeight w:hRule="exact" w:val="58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Adam McHugh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2"/>
              </w:rPr>
              <w:t>Allendre</w:t>
            </w:r>
            <w:proofErr w:type="spellEnd"/>
            <w:r>
              <w:rPr>
                <w:rFonts w:ascii="Arial" w:hAnsi="Arial" w:cs="Arial"/>
                <w:b/>
                <w:color w:val="000080"/>
                <w:sz w:val="12"/>
              </w:rPr>
              <w:t xml:space="preserve"> McGovern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Andrea Galgay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Beth Lange</w:t>
            </w:r>
          </w:p>
          <w:p w:rsidR="00CA0AFE" w:rsidRPr="00907A41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E" w:rsidRPr="00907A41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Charlotte Crist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Corey King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Dan Moynihan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Deb Hurwitz</w:t>
            </w:r>
          </w:p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Justin Jenkins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Mary Craig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Michael Mobilio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Nate Beraha</w:t>
            </w:r>
          </w:p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Pano Yeracaris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Peter Hollmann</w:t>
            </w:r>
          </w:p>
          <w:p w:rsidR="00CA0AFE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Susanne Campbell</w:t>
            </w:r>
          </w:p>
          <w:p w:rsidR="00907A41" w:rsidRPr="007E2044" w:rsidRDefault="00CA0AFE" w:rsidP="00CA0AFE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2"/>
              </w:rPr>
              <w:t>Tilak</w:t>
            </w:r>
            <w:proofErr w:type="spellEnd"/>
            <w:r>
              <w:rPr>
                <w:rFonts w:ascii="Arial" w:hAnsi="Arial" w:cs="Arial"/>
                <w:b/>
                <w:color w:val="000080"/>
                <w:sz w:val="12"/>
              </w:rPr>
              <w:t xml:space="preserve"> Verma</w:t>
            </w: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785F77" w:rsidRPr="007E2044" w:rsidRDefault="00A4123A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C90C7F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Update on Status of Milestone Document – CPC+</w:t>
            </w:r>
          </w:p>
          <w:p w:rsidR="00F12364" w:rsidRDefault="00FF329F" w:rsidP="00CA0AFE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CTC project management had submitted a draft contract milestones document to CMS, for CPC+, a while ago.  They will continue to push for feedback.  </w:t>
            </w:r>
          </w:p>
          <w:p w:rsidR="00D8722C" w:rsidRDefault="00FF329F" w:rsidP="00FF329F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could potentially get lists of practices accepted into CPC+ (Track 1 and Track 2), by the end of November. </w:t>
            </w:r>
            <w:r w:rsidR="00D8722C">
              <w:rPr>
                <w:rFonts w:ascii="Arial" w:hAnsi="Arial" w:cs="Arial"/>
                <w:sz w:val="20"/>
              </w:rPr>
              <w:t xml:space="preserve">  </w:t>
            </w:r>
          </w:p>
          <w:p w:rsidR="00FF329F" w:rsidRDefault="00D8722C" w:rsidP="00FF329F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United will try to pull together a fact sheet on CPC+.</w:t>
            </w:r>
            <w:r w:rsidR="00FF329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They are proposing a $3.00 PMPM for track 1 practices with shared savings for the cohort.  ACO rates will prevail for Track 2.</w:t>
            </w:r>
          </w:p>
          <w:p w:rsidR="00FF329F" w:rsidRDefault="00FF329F" w:rsidP="00FF329F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was recommended that CTC refer to contract attachments (inclusive of milestones), on the CTC-RI website.  This would eliminate the need for amendments when these items are updated.  Health plans will take back to their legal teams to see if that would work.  </w:t>
            </w:r>
            <w:r w:rsidR="00B94EFA">
              <w:rPr>
                <w:rFonts w:ascii="Arial" w:hAnsi="Arial" w:cs="Arial"/>
                <w:sz w:val="20"/>
              </w:rPr>
              <w:t xml:space="preserve">These attachments would be broken out by cohort and tie to each corresponding contract.  When there are any updates, CTC can send a communication to the appropriate cohort and will look into the possibility of a read receipt.  </w:t>
            </w:r>
          </w:p>
          <w:p w:rsidR="00B94EFA" w:rsidRPr="00CA0AFE" w:rsidRDefault="00B94EFA" w:rsidP="00B94EFA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Practices that are joining CPC+ for 01/01/</w:t>
            </w:r>
            <w:proofErr w:type="gramStart"/>
            <w:r>
              <w:rPr>
                <w:rFonts w:ascii="Arial" w:hAnsi="Arial" w:cs="Arial"/>
                <w:sz w:val="20"/>
              </w:rPr>
              <w:t>2017,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will be contracting with participating Rhode Island payers.  We need clarity and confirmation from all health plans on if they will be contracting with Track 1 CPC+ practice sites, through CTC-RI.  If so, what lines of business will be participating (Commercial, Medicare Advantage, Medicaid Managed Care).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F329F" w:rsidRDefault="00FF329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F329F" w:rsidRDefault="00FF329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8722C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F329F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8</w:t>
            </w:r>
          </w:p>
          <w:p w:rsidR="00D8722C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F329F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9</w:t>
            </w:r>
          </w:p>
          <w:p w:rsidR="00B94EFA" w:rsidRDefault="00B94EFA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B94EFA" w:rsidRDefault="00B94EFA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B94EFA" w:rsidRDefault="00B94EFA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B94EFA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10</w:t>
            </w: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Expansion</w:t>
            </w:r>
          </w:p>
          <w:p w:rsidR="00C90C7F" w:rsidRPr="001C6ED0" w:rsidRDefault="00B94EFA" w:rsidP="008740AB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the response for CPC+ has proven to be smaller than projected, </w:t>
            </w:r>
            <w:r w:rsidR="001C6ED0">
              <w:rPr>
                <w:rFonts w:ascii="Arial" w:hAnsi="Arial" w:cs="Arial"/>
                <w:sz w:val="20"/>
              </w:rPr>
              <w:t xml:space="preserve">the CTC-RI expansion (adult and pediatric) will be shifted to 07/01/2017.  </w:t>
            </w:r>
          </w:p>
          <w:p w:rsidR="00941E6F" w:rsidRPr="00941E6F" w:rsidRDefault="001C6ED0" w:rsidP="00941E6F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We were provided a rough view of the landscape for the majority of the remaining pediatric practices</w:t>
            </w:r>
            <w:r w:rsidR="00941E6F">
              <w:rPr>
                <w:rFonts w:ascii="Arial" w:hAnsi="Arial" w:cs="Arial"/>
                <w:sz w:val="20"/>
              </w:rPr>
              <w:t xml:space="preserve">.  Dan Moynihan will redline the document where he saw any affiliated practices that needed to be updated.  </w:t>
            </w:r>
          </w:p>
          <w:p w:rsidR="00941E6F" w:rsidRPr="00941E6F" w:rsidRDefault="00941E6F" w:rsidP="00941E6F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United confirmed that their Commercial and Managed Medicaid lines will be participating in adult and pediatric expansion.  They will be offering a $3.50 PMPM (Year 1 - $3.50; Year 2/3 - $3.00 infrastructure + $0.50 incentives).  The health plans will confirm the $3.50 PMPM for pediatric expansion practices</w:t>
            </w:r>
            <w:r w:rsidR="00D8722C">
              <w:rPr>
                <w:rFonts w:ascii="Arial" w:hAnsi="Arial" w:cs="Arial"/>
                <w:sz w:val="20"/>
              </w:rPr>
              <w:t xml:space="preserve"> and if this new rate </w:t>
            </w:r>
            <w:r w:rsidR="00D8722C">
              <w:rPr>
                <w:rFonts w:ascii="Arial" w:hAnsi="Arial" w:cs="Arial"/>
                <w:sz w:val="20"/>
              </w:rPr>
              <w:lastRenderedPageBreak/>
              <w:t xml:space="preserve">extends to current PCMH-Kids practice sites.   </w:t>
            </w:r>
          </w:p>
          <w:p w:rsidR="00941E6F" w:rsidRPr="00941E6F" w:rsidRDefault="00941E6F" w:rsidP="00941E6F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CPC+ analysis document was updated to reflect practice costs for CPC+ and pediatric expansion.  It also was updated with a draft forecast for PMPM payments as compared to the CTC-RI budget, by health plan and product line.  </w:t>
            </w:r>
            <w:r w:rsidR="00E96F87">
              <w:rPr>
                <w:rFonts w:ascii="Arial" w:hAnsi="Arial" w:cs="Arial"/>
                <w:sz w:val="20"/>
              </w:rPr>
              <w:t xml:space="preserve">The cost/benefit portion of these documents can be used as a calculator for oncoming practices to input their patient panels to estimate payments.  There were some pieces of information that needed to be adjusted in the document.  </w:t>
            </w:r>
          </w:p>
          <w:p w:rsidR="001C6ED0" w:rsidRPr="00E96F87" w:rsidRDefault="00941E6F" w:rsidP="00941E6F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Michael will work with Andrea to ensure that the estimates for practice costs are </w:t>
            </w:r>
            <w:r w:rsidR="00E96F87">
              <w:rPr>
                <w:rFonts w:ascii="Arial" w:hAnsi="Arial" w:cs="Arial"/>
                <w:sz w:val="20"/>
              </w:rPr>
              <w:t>accurately reflected.</w:t>
            </w:r>
          </w:p>
          <w:p w:rsidR="00E96F87" w:rsidRPr="00E96F87" w:rsidRDefault="00E96F87" w:rsidP="00941E6F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Michael will break out the “Commercial payers” payments by product line in the cost/benefit tabs.  </w:t>
            </w:r>
          </w:p>
          <w:p w:rsidR="00E96F87" w:rsidRDefault="00E96F87" w:rsidP="00E96F87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management is in the process of setting up meetings with the major ACOs in the state, with OHIC included, to discuss contracts, transformation, and adult/pediatric investments.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941E6F" w:rsidRDefault="00941E6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941E6F" w:rsidRDefault="00941E6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941E6F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11</w:t>
            </w:r>
          </w:p>
          <w:p w:rsidR="00941E6F" w:rsidRDefault="00941E6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941E6F" w:rsidRDefault="00941E6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941E6F" w:rsidRDefault="00941E6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  <w:r w:rsidR="00D8722C">
              <w:rPr>
                <w:rFonts w:ascii="Arial" w:hAnsi="Arial" w:cs="Arial"/>
                <w:color w:val="000080"/>
                <w:sz w:val="20"/>
              </w:rPr>
              <w:t>2</w:t>
            </w:r>
          </w:p>
          <w:p w:rsidR="00D8722C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8722C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D8722C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13</w:t>
            </w:r>
          </w:p>
          <w:p w:rsidR="00D8722C" w:rsidRDefault="00D8722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14</w:t>
            </w: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C90C7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8740AB" w:rsidRPr="007E2044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8740AB" w:rsidRDefault="008740AB" w:rsidP="00462AB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Default="008740AB" w:rsidP="00C90C7F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OHIC Audits</w:t>
            </w:r>
          </w:p>
          <w:p w:rsidR="00C90C7F" w:rsidRDefault="00E96F87" w:rsidP="00E96F87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Rhode Island primary care practices have submitted their 2016 PCMH attestation</w:t>
            </w:r>
            <w:r w:rsidR="00462AB8" w:rsidRPr="00462A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 OHIC.  These results should be complete, very soon.  This will also include a network file for the plans, to help identify the percentage of network in PCMH practices.  </w:t>
            </w:r>
            <w:r w:rsidR="00D8722C">
              <w:rPr>
                <w:rFonts w:ascii="Arial" w:hAnsi="Arial" w:cs="Arial"/>
                <w:sz w:val="20"/>
              </w:rPr>
              <w:t xml:space="preserve">There may be a delay in contract/payment updates from the health plans as they need time to change things in their system, according to this process.  </w:t>
            </w:r>
          </w:p>
          <w:p w:rsidR="00E96F87" w:rsidRPr="00462AB8" w:rsidRDefault="00E96F87" w:rsidP="00FD3DFD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management is looking to leverage current resources to help audit a random sample of practices that have been identified as OHIC recognized PCMH practices.  We need to understand what the process is </w:t>
            </w:r>
            <w:r w:rsidR="00FD3DFD">
              <w:rPr>
                <w:rFonts w:ascii="Arial" w:hAnsi="Arial" w:cs="Arial"/>
                <w:sz w:val="20"/>
              </w:rPr>
              <w:t xml:space="preserve">if an audit shows that a practice is not meeting standards as attested.  If there is a period for corrective action plan followed by being taken out of sustainability and placed in a transformation (CTC, ACO, etc.) initiative, does that satisfy the need.  Project management will work with OHIC to draft an audit protocol.  </w:t>
            </w:r>
            <w:r w:rsidR="00D8722C">
              <w:rPr>
                <w:rFonts w:ascii="Arial" w:hAnsi="Arial" w:cs="Arial"/>
                <w:sz w:val="20"/>
              </w:rPr>
              <w:t xml:space="preserve">Costs need to be taken into consideration with this process.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D3DFD" w:rsidRDefault="00FD3DFD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D3DFD" w:rsidRDefault="00FD3DFD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D3DFD" w:rsidRDefault="00FD3DFD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D3DFD" w:rsidRDefault="00FD3DFD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5922D3" w:rsidRDefault="005922D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FD3DFD" w:rsidRDefault="00FD3DFD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  <w:r w:rsidR="005922D3"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C90C7F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D07E02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</w:p>
          <w:p w:rsidR="0062619E" w:rsidRPr="0062619E" w:rsidRDefault="00805485" w:rsidP="00BD471B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BD471B">
              <w:rPr>
                <w:rFonts w:ascii="Arial" w:hAnsi="Arial" w:cs="Arial"/>
                <w:sz w:val="20"/>
              </w:rPr>
              <w:t xml:space="preserve">December </w:t>
            </w:r>
            <w:r w:rsidR="008740AB">
              <w:rPr>
                <w:rFonts w:ascii="Arial" w:hAnsi="Arial" w:cs="Arial"/>
                <w:sz w:val="20"/>
              </w:rPr>
              <w:t>13</w:t>
            </w:r>
            <w:r w:rsidR="00232560">
              <w:rPr>
                <w:rFonts w:ascii="Arial" w:hAnsi="Arial" w:cs="Arial"/>
                <w:sz w:val="20"/>
              </w:rPr>
              <w:t>,</w:t>
            </w:r>
            <w:r w:rsidR="001169E7">
              <w:rPr>
                <w:rFonts w:ascii="Arial" w:hAnsi="Arial" w:cs="Arial"/>
                <w:sz w:val="20"/>
              </w:rPr>
              <w:t xml:space="preserve">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BD471B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10/11/16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Bring the recommendation to shift expansion to 07/01/2017 to the Board of Directors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10/28/16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10/28/16</w:t>
            </w:r>
          </w:p>
        </w:tc>
      </w:tr>
      <w:tr w:rsidR="00BD471B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10/11/16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Hold conversations with leadership from ACOs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Mary Craig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D8722C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Look into a CPC+ fact sheet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4768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47681B" w:rsidP="004768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willingness of respective organizations to post contract attachments to the website with reference in contracts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4768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4768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4768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Confirm </w:t>
            </w:r>
            <w:r w:rsidR="00917243">
              <w:rPr>
                <w:color w:val="000080"/>
                <w:szCs w:val="18"/>
              </w:rPr>
              <w:t xml:space="preserve">CPC+ </w:t>
            </w:r>
            <w:r>
              <w:rPr>
                <w:color w:val="000080"/>
                <w:szCs w:val="18"/>
              </w:rPr>
              <w:t xml:space="preserve">participation through </w:t>
            </w:r>
            <w:r w:rsidR="00917243">
              <w:rPr>
                <w:color w:val="000080"/>
                <w:szCs w:val="18"/>
              </w:rPr>
              <w:t xml:space="preserve">CTC </w:t>
            </w:r>
            <w:r>
              <w:rPr>
                <w:color w:val="000080"/>
                <w:szCs w:val="18"/>
              </w:rPr>
              <w:t>contracts with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4768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D. Moynihan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Redline list of </w:t>
            </w:r>
            <w:r w:rsidR="00917243">
              <w:rPr>
                <w:color w:val="000080"/>
                <w:szCs w:val="18"/>
              </w:rPr>
              <w:t xml:space="preserve">prospective pediatric </w:t>
            </w:r>
            <w:bookmarkStart w:id="0" w:name="_GoBack"/>
            <w:bookmarkEnd w:id="0"/>
            <w:r>
              <w:rPr>
                <w:color w:val="000080"/>
                <w:szCs w:val="18"/>
              </w:rPr>
              <w:t>practices with any 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the $3.50 PMPM for PCMH-Kids practices for expansion and current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D8722C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M. Mobilio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Place the “calculator” for practice PMPM and costs on the CTC website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M. Mobilio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Update the current analysis document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D8722C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Work with OHIC to draft an audit protocol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Default="005922D3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C" w:rsidRPr="00A65F1B" w:rsidRDefault="00D8722C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917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BD8"/>
    <w:multiLevelType w:val="hybridMultilevel"/>
    <w:tmpl w:val="D24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204"/>
    <w:multiLevelType w:val="hybridMultilevel"/>
    <w:tmpl w:val="233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3256"/>
    <w:multiLevelType w:val="hybridMultilevel"/>
    <w:tmpl w:val="B38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B6943"/>
    <w:multiLevelType w:val="hybridMultilevel"/>
    <w:tmpl w:val="0E1A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068DD"/>
    <w:multiLevelType w:val="hybridMultilevel"/>
    <w:tmpl w:val="444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90190"/>
    <w:multiLevelType w:val="hybridMultilevel"/>
    <w:tmpl w:val="20B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114F4"/>
    <w:multiLevelType w:val="hybridMultilevel"/>
    <w:tmpl w:val="04E0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42"/>
  </w:num>
  <w:num w:numId="5">
    <w:abstractNumId w:val="2"/>
  </w:num>
  <w:num w:numId="6">
    <w:abstractNumId w:val="11"/>
  </w:num>
  <w:num w:numId="7">
    <w:abstractNumId w:val="26"/>
  </w:num>
  <w:num w:numId="8">
    <w:abstractNumId w:val="29"/>
  </w:num>
  <w:num w:numId="9">
    <w:abstractNumId w:val="16"/>
  </w:num>
  <w:num w:numId="10">
    <w:abstractNumId w:val="39"/>
  </w:num>
  <w:num w:numId="11">
    <w:abstractNumId w:val="45"/>
  </w:num>
  <w:num w:numId="12">
    <w:abstractNumId w:val="20"/>
  </w:num>
  <w:num w:numId="13">
    <w:abstractNumId w:val="36"/>
  </w:num>
  <w:num w:numId="14">
    <w:abstractNumId w:val="30"/>
  </w:num>
  <w:num w:numId="15">
    <w:abstractNumId w:val="27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8"/>
  </w:num>
  <w:num w:numId="21">
    <w:abstractNumId w:val="10"/>
  </w:num>
  <w:num w:numId="22">
    <w:abstractNumId w:val="14"/>
  </w:num>
  <w:num w:numId="23">
    <w:abstractNumId w:val="9"/>
  </w:num>
  <w:num w:numId="24">
    <w:abstractNumId w:val="22"/>
  </w:num>
  <w:num w:numId="25">
    <w:abstractNumId w:val="43"/>
  </w:num>
  <w:num w:numId="26">
    <w:abstractNumId w:val="40"/>
  </w:num>
  <w:num w:numId="27">
    <w:abstractNumId w:val="1"/>
  </w:num>
  <w:num w:numId="28">
    <w:abstractNumId w:val="31"/>
  </w:num>
  <w:num w:numId="29">
    <w:abstractNumId w:val="3"/>
  </w:num>
  <w:num w:numId="30">
    <w:abstractNumId w:val="38"/>
  </w:num>
  <w:num w:numId="31">
    <w:abstractNumId w:val="44"/>
  </w:num>
  <w:num w:numId="32">
    <w:abstractNumId w:val="34"/>
  </w:num>
  <w:num w:numId="33">
    <w:abstractNumId w:val="15"/>
  </w:num>
  <w:num w:numId="34">
    <w:abstractNumId w:val="5"/>
  </w:num>
  <w:num w:numId="35">
    <w:abstractNumId w:val="0"/>
  </w:num>
  <w:num w:numId="36">
    <w:abstractNumId w:val="12"/>
  </w:num>
  <w:num w:numId="37">
    <w:abstractNumId w:val="13"/>
  </w:num>
  <w:num w:numId="38">
    <w:abstractNumId w:val="37"/>
  </w:num>
  <w:num w:numId="39">
    <w:abstractNumId w:val="28"/>
  </w:num>
  <w:num w:numId="40">
    <w:abstractNumId w:val="32"/>
  </w:num>
  <w:num w:numId="41">
    <w:abstractNumId w:val="4"/>
  </w:num>
  <w:num w:numId="42">
    <w:abstractNumId w:val="21"/>
  </w:num>
  <w:num w:numId="43">
    <w:abstractNumId w:val="33"/>
  </w:num>
  <w:num w:numId="44">
    <w:abstractNumId w:val="17"/>
  </w:num>
  <w:num w:numId="45">
    <w:abstractNumId w:val="6"/>
  </w:num>
  <w:num w:numId="4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6ED0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AB8"/>
    <w:rsid w:val="00462DF7"/>
    <w:rsid w:val="00463BDC"/>
    <w:rsid w:val="00465195"/>
    <w:rsid w:val="00467A1E"/>
    <w:rsid w:val="0047189A"/>
    <w:rsid w:val="004719B7"/>
    <w:rsid w:val="00472A89"/>
    <w:rsid w:val="004762C5"/>
    <w:rsid w:val="0047681B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22D3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1045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40AB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17243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1E6F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4EFA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471B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0C7F"/>
    <w:rsid w:val="00C920CC"/>
    <w:rsid w:val="00C94E4D"/>
    <w:rsid w:val="00C9507E"/>
    <w:rsid w:val="00C96EA7"/>
    <w:rsid w:val="00C97E7B"/>
    <w:rsid w:val="00CA0535"/>
    <w:rsid w:val="00CA0AFE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07E02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8722C"/>
    <w:rsid w:val="00D9274C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96F87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3DFD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329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EEC2-FED4-4F40-92BD-A970C40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931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7</cp:revision>
  <cp:lastPrinted>2012-09-13T20:30:00Z</cp:lastPrinted>
  <dcterms:created xsi:type="dcterms:W3CDTF">2016-11-08T17:32:00Z</dcterms:created>
  <dcterms:modified xsi:type="dcterms:W3CDTF">2016-12-08T19:36:00Z</dcterms:modified>
</cp:coreProperties>
</file>