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76" w:rsidRDefault="00D51C76" w:rsidP="00D51C76">
      <w:pPr>
        <w:spacing w:after="0"/>
      </w:pPr>
      <w:r>
        <w:t>CTC-RI Recommendations on Contractual Performance</w:t>
      </w:r>
    </w:p>
    <w:p w:rsidR="00D51C76" w:rsidRDefault="00D51C76" w:rsidP="00D51C76">
      <w:pPr>
        <w:spacing w:after="0"/>
      </w:pPr>
      <w:r>
        <w:t>07/08/2016</w:t>
      </w:r>
    </w:p>
    <w:p w:rsidR="00D51C76" w:rsidRDefault="00D51C76" w:rsidP="00D51C76">
      <w:pPr>
        <w:spacing w:after="0"/>
      </w:pPr>
    </w:p>
    <w:p w:rsidR="00D51C76" w:rsidRDefault="00D51C76" w:rsidP="00D51C76">
      <w:pPr>
        <w:spacing w:after="0"/>
      </w:pPr>
      <w:r>
        <w:t>Current CTC-RI</w:t>
      </w:r>
      <w:r w:rsidR="001F5966">
        <w:t xml:space="preserve"> </w:t>
      </w:r>
      <w:r w:rsidR="00A074D9">
        <w:t>Adult Practice</w:t>
      </w:r>
      <w:r>
        <w:t xml:space="preserve"> Sites</w:t>
      </w:r>
      <w:r w:rsidR="003E41B6">
        <w:t>:  Sites in performance years of the current developmental contract will be held to the following standards.</w:t>
      </w:r>
    </w:p>
    <w:p w:rsidR="00814C6A" w:rsidRDefault="00814C6A" w:rsidP="00D77A01">
      <w:pPr>
        <w:pStyle w:val="ListParagraph"/>
        <w:numPr>
          <w:ilvl w:val="0"/>
          <w:numId w:val="2"/>
        </w:numPr>
        <w:spacing w:after="0"/>
      </w:pPr>
      <w:r>
        <w:t xml:space="preserve">Adjudication timeline:  </w:t>
      </w:r>
      <w:r w:rsidR="00D40120">
        <w:t>Rates for FY18 (07/01/17-06/30/2018) to be set by 05/31/2017</w:t>
      </w:r>
    </w:p>
    <w:p w:rsidR="00814C6A" w:rsidRDefault="00814C6A" w:rsidP="00D77A01">
      <w:pPr>
        <w:pStyle w:val="ListParagraph"/>
        <w:numPr>
          <w:ilvl w:val="0"/>
          <w:numId w:val="2"/>
        </w:numPr>
        <w:spacing w:after="0"/>
      </w:pPr>
      <w:r>
        <w:t>Metric Reporting:</w:t>
      </w:r>
    </w:p>
    <w:p w:rsidR="00D77A01" w:rsidRDefault="00D77A01" w:rsidP="00814C6A">
      <w:pPr>
        <w:pStyle w:val="ListParagraph"/>
        <w:numPr>
          <w:ilvl w:val="1"/>
          <w:numId w:val="2"/>
        </w:numPr>
        <w:spacing w:after="0"/>
      </w:pPr>
      <w:r>
        <w:t>Quality:</w:t>
      </w:r>
      <w:r w:rsidR="00681171">
        <w:t xml:space="preserve">  </w:t>
      </w:r>
    </w:p>
    <w:p w:rsidR="004B7296" w:rsidRDefault="004B7296" w:rsidP="004B7296">
      <w:pPr>
        <w:pStyle w:val="ListParagraph"/>
        <w:numPr>
          <w:ilvl w:val="2"/>
          <w:numId w:val="2"/>
        </w:numPr>
        <w:spacing w:after="0"/>
      </w:pPr>
      <w:r>
        <w:t>Number of measures successful for performance incentive payment:  3 of 5 measures for contractual success; 5 of 5 for Performance Year II additional incentive.</w:t>
      </w:r>
    </w:p>
    <w:p w:rsidR="004B7296" w:rsidRDefault="004B7296" w:rsidP="004B7296">
      <w:pPr>
        <w:pStyle w:val="ListParagraph"/>
        <w:numPr>
          <w:ilvl w:val="2"/>
          <w:numId w:val="2"/>
        </w:numPr>
        <w:spacing w:after="0"/>
      </w:pPr>
      <w:r>
        <w:t xml:space="preserve">Thresholds for contractual success:  </w:t>
      </w:r>
    </w:p>
    <w:p w:rsidR="004B7296" w:rsidRDefault="004B7296" w:rsidP="004B7296">
      <w:pPr>
        <w:pStyle w:val="ListParagraph"/>
        <w:numPr>
          <w:ilvl w:val="3"/>
          <w:numId w:val="2"/>
        </w:numPr>
        <w:spacing w:after="0"/>
      </w:pPr>
      <w:r>
        <w:t xml:space="preserve">DM HbA1c Good Control:  </w:t>
      </w:r>
    </w:p>
    <w:p w:rsidR="004B7296" w:rsidRDefault="004B7296" w:rsidP="004B7296">
      <w:pPr>
        <w:pStyle w:val="ListParagraph"/>
        <w:numPr>
          <w:ilvl w:val="4"/>
          <w:numId w:val="2"/>
        </w:numPr>
        <w:spacing w:after="0"/>
      </w:pPr>
      <w:r>
        <w:t>FQHC: 67%</w:t>
      </w:r>
    </w:p>
    <w:p w:rsidR="004B7296" w:rsidRDefault="004B7296" w:rsidP="004B7296">
      <w:pPr>
        <w:pStyle w:val="ListParagraph"/>
        <w:numPr>
          <w:ilvl w:val="4"/>
          <w:numId w:val="2"/>
        </w:numPr>
        <w:spacing w:after="0"/>
      </w:pPr>
      <w:r>
        <w:t>Non FQHC:  72%</w:t>
      </w:r>
      <w:r w:rsidR="001F5966">
        <w:t xml:space="preserve"> </w:t>
      </w:r>
    </w:p>
    <w:p w:rsidR="004B7296" w:rsidRDefault="004B7296" w:rsidP="004B7296">
      <w:pPr>
        <w:pStyle w:val="ListParagraph"/>
        <w:numPr>
          <w:ilvl w:val="3"/>
          <w:numId w:val="2"/>
        </w:numPr>
        <w:spacing w:after="0"/>
      </w:pPr>
      <w:r>
        <w:t>Tobaccos Cessation:</w:t>
      </w:r>
    </w:p>
    <w:p w:rsidR="004B7296" w:rsidRDefault="004B7296" w:rsidP="004B7296">
      <w:pPr>
        <w:pStyle w:val="ListParagraph"/>
        <w:numPr>
          <w:ilvl w:val="4"/>
          <w:numId w:val="2"/>
        </w:numPr>
        <w:spacing w:after="0"/>
      </w:pPr>
      <w:r>
        <w:t>FQHC:  90%</w:t>
      </w:r>
    </w:p>
    <w:p w:rsidR="004B7296" w:rsidRDefault="004B7296" w:rsidP="004B7296">
      <w:pPr>
        <w:pStyle w:val="ListParagraph"/>
        <w:numPr>
          <w:ilvl w:val="4"/>
          <w:numId w:val="2"/>
        </w:numPr>
        <w:spacing w:after="0"/>
      </w:pPr>
      <w:r>
        <w:t>Non-FQHC:  90%</w:t>
      </w:r>
    </w:p>
    <w:p w:rsidR="004B7296" w:rsidRDefault="004B7296" w:rsidP="004B7296">
      <w:pPr>
        <w:pStyle w:val="ListParagraph"/>
        <w:numPr>
          <w:ilvl w:val="3"/>
          <w:numId w:val="2"/>
        </w:numPr>
        <w:spacing w:after="0"/>
      </w:pPr>
      <w:r>
        <w:t xml:space="preserve">HTN BP:  </w:t>
      </w:r>
    </w:p>
    <w:p w:rsidR="004B7296" w:rsidRDefault="004B7296" w:rsidP="004B7296">
      <w:pPr>
        <w:pStyle w:val="ListParagraph"/>
        <w:numPr>
          <w:ilvl w:val="4"/>
          <w:numId w:val="2"/>
        </w:numPr>
        <w:spacing w:after="0"/>
      </w:pPr>
      <w:r>
        <w:t>FQHC:  68%</w:t>
      </w:r>
    </w:p>
    <w:p w:rsidR="004B7296" w:rsidRDefault="004B7296" w:rsidP="004B7296">
      <w:pPr>
        <w:pStyle w:val="ListParagraph"/>
        <w:numPr>
          <w:ilvl w:val="4"/>
          <w:numId w:val="2"/>
        </w:numPr>
        <w:spacing w:after="0"/>
      </w:pPr>
      <w:r>
        <w:t>Non-FQHC:  80%</w:t>
      </w:r>
    </w:p>
    <w:p w:rsidR="004B7296" w:rsidRDefault="004B7296" w:rsidP="004B7296">
      <w:pPr>
        <w:pStyle w:val="ListParagraph"/>
        <w:numPr>
          <w:ilvl w:val="3"/>
          <w:numId w:val="2"/>
        </w:numPr>
        <w:spacing w:after="0"/>
      </w:pPr>
      <w:r>
        <w:t xml:space="preserve">BMI:  </w:t>
      </w:r>
    </w:p>
    <w:p w:rsidR="004B7296" w:rsidRDefault="004B7296" w:rsidP="004B7296">
      <w:pPr>
        <w:pStyle w:val="ListParagraph"/>
        <w:numPr>
          <w:ilvl w:val="4"/>
          <w:numId w:val="2"/>
        </w:numPr>
        <w:spacing w:after="0"/>
      </w:pPr>
      <w:r>
        <w:t>FQHC:  90%</w:t>
      </w:r>
    </w:p>
    <w:p w:rsidR="004B7296" w:rsidRDefault="004B7296" w:rsidP="004B7296">
      <w:pPr>
        <w:pStyle w:val="ListParagraph"/>
        <w:numPr>
          <w:ilvl w:val="4"/>
          <w:numId w:val="2"/>
        </w:numPr>
        <w:spacing w:after="0"/>
      </w:pPr>
      <w:r>
        <w:t>Non-FQHC:  90%</w:t>
      </w:r>
    </w:p>
    <w:p w:rsidR="004B7296" w:rsidRDefault="004B7296" w:rsidP="004B7296">
      <w:pPr>
        <w:pStyle w:val="ListParagraph"/>
        <w:numPr>
          <w:ilvl w:val="3"/>
          <w:numId w:val="2"/>
        </w:numPr>
        <w:spacing w:after="0"/>
      </w:pPr>
      <w:r>
        <w:t>Depression Screening:</w:t>
      </w:r>
    </w:p>
    <w:p w:rsidR="004B7296" w:rsidRDefault="004B7296" w:rsidP="004B7296">
      <w:pPr>
        <w:pStyle w:val="ListParagraph"/>
        <w:numPr>
          <w:ilvl w:val="4"/>
          <w:numId w:val="2"/>
        </w:numPr>
        <w:spacing w:after="0"/>
      </w:pPr>
      <w:r>
        <w:t>FQHC:  50%</w:t>
      </w:r>
    </w:p>
    <w:p w:rsidR="004B7296" w:rsidRDefault="004B7296" w:rsidP="004B7296">
      <w:pPr>
        <w:pStyle w:val="ListParagraph"/>
        <w:numPr>
          <w:ilvl w:val="4"/>
          <w:numId w:val="2"/>
        </w:numPr>
        <w:spacing w:after="0"/>
      </w:pPr>
      <w:r>
        <w:t>Non-FQHC:  50%</w:t>
      </w:r>
    </w:p>
    <w:p w:rsidR="00D77A01" w:rsidRDefault="00D77A01" w:rsidP="00814C6A">
      <w:pPr>
        <w:pStyle w:val="ListParagraph"/>
        <w:numPr>
          <w:ilvl w:val="1"/>
          <w:numId w:val="2"/>
        </w:numPr>
        <w:spacing w:after="0"/>
      </w:pPr>
      <w:bookmarkStart w:id="0" w:name="_GoBack"/>
      <w:bookmarkEnd w:id="0"/>
      <w:r>
        <w:t>Patient Experience:</w:t>
      </w:r>
      <w:r w:rsidR="00681171">
        <w:t xml:space="preserve">  </w:t>
      </w:r>
    </w:p>
    <w:p w:rsidR="004B7296" w:rsidRDefault="004B7296" w:rsidP="004B7296">
      <w:pPr>
        <w:pStyle w:val="ListParagraph"/>
        <w:numPr>
          <w:ilvl w:val="2"/>
          <w:numId w:val="2"/>
        </w:numPr>
        <w:spacing w:after="0"/>
      </w:pPr>
      <w:r>
        <w:t xml:space="preserve">Number of measures successful for performance incentive payment:  </w:t>
      </w:r>
    </w:p>
    <w:p w:rsidR="004B7296" w:rsidRDefault="004B7296" w:rsidP="004B7296">
      <w:pPr>
        <w:pStyle w:val="ListParagraph"/>
        <w:numPr>
          <w:ilvl w:val="2"/>
          <w:numId w:val="2"/>
        </w:numPr>
        <w:spacing w:after="0"/>
      </w:pPr>
      <w:r>
        <w:t xml:space="preserve">Thresholds for contractual success:  </w:t>
      </w:r>
    </w:p>
    <w:p w:rsidR="00E27954" w:rsidRDefault="00E27954" w:rsidP="00E27954">
      <w:pPr>
        <w:pStyle w:val="ListParagraph"/>
        <w:numPr>
          <w:ilvl w:val="3"/>
          <w:numId w:val="2"/>
        </w:numPr>
        <w:spacing w:after="0"/>
      </w:pPr>
      <w:r>
        <w:t>Access:  60%</w:t>
      </w:r>
    </w:p>
    <w:p w:rsidR="00E27954" w:rsidRDefault="00E27954" w:rsidP="00E27954">
      <w:pPr>
        <w:pStyle w:val="ListParagraph"/>
        <w:numPr>
          <w:ilvl w:val="3"/>
          <w:numId w:val="2"/>
        </w:numPr>
        <w:spacing w:after="0"/>
      </w:pPr>
      <w:r>
        <w:t>Communication:  84%</w:t>
      </w:r>
    </w:p>
    <w:p w:rsidR="00E27954" w:rsidRDefault="00E27954" w:rsidP="00E27954">
      <w:pPr>
        <w:pStyle w:val="ListParagraph"/>
        <w:numPr>
          <w:ilvl w:val="3"/>
          <w:numId w:val="2"/>
        </w:numPr>
        <w:spacing w:after="0"/>
      </w:pPr>
      <w:r>
        <w:t>Office Staff:  76%</w:t>
      </w:r>
    </w:p>
    <w:p w:rsidR="001F5966" w:rsidRDefault="00E27954" w:rsidP="00E27954">
      <w:pPr>
        <w:pStyle w:val="ListParagraph"/>
        <w:numPr>
          <w:ilvl w:val="3"/>
          <w:numId w:val="2"/>
        </w:numPr>
        <w:spacing w:after="0"/>
      </w:pPr>
      <w:r>
        <w:t xml:space="preserve">The Shared Decision Making and Adult Behavioral composite measures are no longer on the survey and do not have enough questions, respectively.  </w:t>
      </w:r>
    </w:p>
    <w:p w:rsidR="00D77A01" w:rsidRDefault="00D77A01" w:rsidP="00814C6A">
      <w:pPr>
        <w:pStyle w:val="ListParagraph"/>
        <w:numPr>
          <w:ilvl w:val="1"/>
          <w:numId w:val="2"/>
        </w:numPr>
        <w:spacing w:after="0"/>
      </w:pPr>
      <w:r>
        <w:t xml:space="preserve">Utilization:  </w:t>
      </w:r>
      <w:r w:rsidR="00E27954">
        <w:t>TBD</w:t>
      </w:r>
    </w:p>
    <w:p w:rsidR="003E41B6" w:rsidRDefault="003E41B6" w:rsidP="00D51C76">
      <w:pPr>
        <w:spacing w:after="0"/>
      </w:pPr>
    </w:p>
    <w:p w:rsidR="00D51C76" w:rsidRDefault="00D51C76" w:rsidP="00D51C76">
      <w:pPr>
        <w:spacing w:after="0"/>
      </w:pPr>
    </w:p>
    <w:p w:rsidR="00D51C76" w:rsidRDefault="00D51C76" w:rsidP="00D51C76">
      <w:pPr>
        <w:spacing w:after="0"/>
      </w:pPr>
      <w:r>
        <w:t>Incoming CTC-RI Practice Sites:</w:t>
      </w:r>
      <w:r w:rsidR="003E41B6">
        <w:t xml:space="preserve">  2017 Expansion sites (j</w:t>
      </w:r>
      <w:r w:rsidR="00814C6A">
        <w:t xml:space="preserve">oining CTC-RI as of 01/01/2017): </w:t>
      </w:r>
      <w:r w:rsidR="00E27954">
        <w:t xml:space="preserve">Shift the contract cycle to an annual cycle (01/01-12/31).  This will help align with OHIC reporting timelines.  </w:t>
      </w:r>
    </w:p>
    <w:p w:rsidR="00814C6A" w:rsidRDefault="00814C6A" w:rsidP="00D77A01">
      <w:pPr>
        <w:pStyle w:val="ListParagraph"/>
        <w:numPr>
          <w:ilvl w:val="0"/>
          <w:numId w:val="1"/>
        </w:numPr>
        <w:spacing w:after="0"/>
      </w:pPr>
      <w:r>
        <w:lastRenderedPageBreak/>
        <w:t>Adjudication timeline:</w:t>
      </w:r>
      <w:r w:rsidR="00E27954">
        <w:t xml:space="preserve">  Practices will be paid the base PMPM throughout the year with any additional incentives ($0.50 potential in Transition Year; performance incentives in Performance Year) paid out, in lump sum at the end of the contract year.   </w:t>
      </w:r>
    </w:p>
    <w:p w:rsidR="00814C6A" w:rsidRDefault="00814C6A" w:rsidP="00D77A01">
      <w:pPr>
        <w:pStyle w:val="ListParagraph"/>
        <w:numPr>
          <w:ilvl w:val="0"/>
          <w:numId w:val="1"/>
        </w:numPr>
        <w:spacing w:after="0"/>
      </w:pPr>
      <w:r>
        <w:t>Metric Reporting:  There are no performance requirements in year one.</w:t>
      </w:r>
      <w:r w:rsidR="00E27954">
        <w:t xml:space="preserve">  Performance Year requirements will be set as such.</w:t>
      </w:r>
    </w:p>
    <w:p w:rsidR="00D77A01" w:rsidRDefault="00D77A01" w:rsidP="00814C6A">
      <w:pPr>
        <w:pStyle w:val="ListParagraph"/>
        <w:numPr>
          <w:ilvl w:val="1"/>
          <w:numId w:val="1"/>
        </w:numPr>
        <w:spacing w:after="0"/>
      </w:pPr>
      <w:r>
        <w:t>Quality:</w:t>
      </w:r>
      <w:r w:rsidR="00681171">
        <w:t xml:space="preserve">  </w:t>
      </w:r>
      <w:r w:rsidR="00E27954">
        <w:t xml:space="preserve">quality metrics will be reported quarterly to CTC-RI.  Quarter 3 of Performance Year (07/01-09/30) data, reported on 10/15, will be used for contract adjudication.  Baseline data will be the prior year’s Quarter 3 results. </w:t>
      </w:r>
    </w:p>
    <w:p w:rsidR="00D77A01" w:rsidRDefault="00D77A01" w:rsidP="00814C6A">
      <w:pPr>
        <w:pStyle w:val="ListParagraph"/>
        <w:numPr>
          <w:ilvl w:val="1"/>
          <w:numId w:val="1"/>
        </w:numPr>
        <w:spacing w:after="0"/>
      </w:pPr>
      <w:r>
        <w:t>Patient Experience:</w:t>
      </w:r>
      <w:r w:rsidR="00681171">
        <w:t xml:space="preserve">  </w:t>
      </w:r>
      <w:r w:rsidR="00E27954">
        <w:t>Use May/June with results anticipated by December</w:t>
      </w:r>
    </w:p>
    <w:p w:rsidR="00D77A01" w:rsidRDefault="00D77A01" w:rsidP="00814C6A">
      <w:pPr>
        <w:pStyle w:val="ListParagraph"/>
        <w:numPr>
          <w:ilvl w:val="1"/>
          <w:numId w:val="1"/>
        </w:numPr>
        <w:spacing w:after="0"/>
      </w:pPr>
      <w:r>
        <w:t xml:space="preserve">Utilization:  </w:t>
      </w:r>
      <w:r w:rsidR="00E27954">
        <w:t>TBD</w:t>
      </w:r>
    </w:p>
    <w:sectPr w:rsidR="00D77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3CC3"/>
    <w:multiLevelType w:val="hybridMultilevel"/>
    <w:tmpl w:val="77F8E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D41A8"/>
    <w:multiLevelType w:val="hybridMultilevel"/>
    <w:tmpl w:val="359E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76"/>
    <w:rsid w:val="00162465"/>
    <w:rsid w:val="001F5966"/>
    <w:rsid w:val="003E41B6"/>
    <w:rsid w:val="004B7296"/>
    <w:rsid w:val="00506127"/>
    <w:rsid w:val="00626588"/>
    <w:rsid w:val="00681171"/>
    <w:rsid w:val="00814C6A"/>
    <w:rsid w:val="00A074D9"/>
    <w:rsid w:val="00D40120"/>
    <w:rsid w:val="00D51C76"/>
    <w:rsid w:val="00D77A01"/>
    <w:rsid w:val="00E2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Mobilio, Michael</dc:creator>
  <cp:lastModifiedBy>Mobilio, Michael</cp:lastModifiedBy>
  <cp:revision>3</cp:revision>
  <dcterms:created xsi:type="dcterms:W3CDTF">2016-07-11T18:14:00Z</dcterms:created>
  <dcterms:modified xsi:type="dcterms:W3CDTF">2016-07-20T14:49:00Z</dcterms:modified>
</cp:coreProperties>
</file>