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51EE" w14:textId="77777777" w:rsidR="00B319EB" w:rsidRDefault="00B319EB" w:rsidP="00B319EB">
      <w:pPr>
        <w:spacing w:after="0"/>
      </w:pPr>
      <w:r>
        <w:t>CTC-RI Data and Evaluation Committee</w:t>
      </w:r>
      <w:bookmarkStart w:id="0" w:name="_GoBack"/>
      <w:bookmarkEnd w:id="0"/>
    </w:p>
    <w:p w14:paraId="167FFD4B" w14:textId="77777777" w:rsidR="00B319EB" w:rsidRDefault="00B319EB" w:rsidP="00B319EB">
      <w:pPr>
        <w:spacing w:after="0"/>
      </w:pPr>
      <w:r>
        <w:t>Recommendations on OHIC Patient-Centered Medical Home Measurement Standards</w:t>
      </w:r>
    </w:p>
    <w:p w14:paraId="4724D3F4" w14:textId="77777777" w:rsidR="00B319EB" w:rsidRDefault="00B319EB" w:rsidP="00B319EB">
      <w:pPr>
        <w:spacing w:after="0"/>
      </w:pPr>
    </w:p>
    <w:p w14:paraId="6AE409D6" w14:textId="77777777" w:rsidR="00B319EB" w:rsidRDefault="00B319EB" w:rsidP="00B319EB">
      <w:pPr>
        <w:spacing w:after="0"/>
      </w:pPr>
      <w:r w:rsidRPr="00B319EB">
        <w:rPr>
          <w:b/>
          <w:u w:val="single"/>
        </w:rPr>
        <w:t>Background</w:t>
      </w:r>
      <w:r w:rsidRPr="00B319EB">
        <w:rPr>
          <w:b/>
        </w:rPr>
        <w:t>:</w:t>
      </w:r>
      <w:r>
        <w:t xml:space="preserve">  OHIC is in the process of establishing its standards for the definition of a Patient-Centered Medical Home, in Rhode Island.  As part of these standards practices must demonstrate meaningful improvement on a designated measure set.  Since the Data and Evaluation Committee has been developing, implementing and testing </w:t>
      </w:r>
      <w:r w:rsidR="0041554E">
        <w:t>measures</w:t>
      </w:r>
      <w:r>
        <w:t xml:space="preserve"> for Patient-Centered Medical Homes, these work groups looked to D&amp;E to make recommendations on the measures and what defines meaningful improvement.  </w:t>
      </w:r>
    </w:p>
    <w:p w14:paraId="495A3A8C" w14:textId="77777777" w:rsidR="00B319EB" w:rsidRDefault="00B319EB" w:rsidP="00B319EB">
      <w:pPr>
        <w:spacing w:after="0"/>
      </w:pPr>
    </w:p>
    <w:p w14:paraId="2584E49A" w14:textId="77777777" w:rsidR="00B319EB" w:rsidRDefault="00B319EB" w:rsidP="00B319EB">
      <w:pPr>
        <w:spacing w:after="0"/>
      </w:pPr>
      <w:r w:rsidRPr="00B319EB">
        <w:rPr>
          <w:b/>
          <w:u w:val="single"/>
        </w:rPr>
        <w:t>Recommendations</w:t>
      </w:r>
      <w:r w:rsidRPr="00B319EB">
        <w:rPr>
          <w:b/>
        </w:rPr>
        <w:t>:</w:t>
      </w:r>
      <w:r>
        <w:t xml:space="preserve">  At the 01/05/2016 session of the CTC-RI Data and Evaluation Committee, these discussions were summarized into the following recommendations.</w:t>
      </w:r>
    </w:p>
    <w:p w14:paraId="7642B651" w14:textId="77777777" w:rsidR="0078764B" w:rsidRDefault="00B319EB" w:rsidP="00B319EB">
      <w:pPr>
        <w:pStyle w:val="ListParagraph"/>
        <w:numPr>
          <w:ilvl w:val="0"/>
          <w:numId w:val="1"/>
        </w:numPr>
        <w:spacing w:after="0"/>
      </w:pPr>
      <w:r>
        <w:t xml:space="preserve">Quality:  </w:t>
      </w:r>
    </w:p>
    <w:p w14:paraId="7859417A" w14:textId="77777777" w:rsidR="0078764B" w:rsidRDefault="00B319EB" w:rsidP="0078764B">
      <w:pPr>
        <w:pStyle w:val="ListParagraph"/>
        <w:numPr>
          <w:ilvl w:val="1"/>
          <w:numId w:val="1"/>
        </w:numPr>
        <w:spacing w:after="0"/>
      </w:pPr>
      <w:r>
        <w:t xml:space="preserve">Current CTC-RI and PCMH-Kids contractual quality measures were recommended for use (noted below in Table 1: Current CTC-RI/PCMH-Kids measures).  </w:t>
      </w:r>
    </w:p>
    <w:p w14:paraId="1331CF7F" w14:textId="77777777" w:rsidR="0078764B" w:rsidRDefault="00B319EB" w:rsidP="0041554E">
      <w:pPr>
        <w:pStyle w:val="ListParagraph"/>
        <w:numPr>
          <w:ilvl w:val="1"/>
          <w:numId w:val="1"/>
        </w:numPr>
        <w:spacing w:after="0"/>
      </w:pPr>
      <w:r>
        <w:t>Quality measur</w:t>
      </w:r>
      <w:r w:rsidR="0078764B">
        <w:t>ement will be practice reported measures only</w:t>
      </w:r>
    </w:p>
    <w:p w14:paraId="78F1FD72" w14:textId="77777777" w:rsidR="00B319EB" w:rsidRDefault="00B319EB" w:rsidP="00B319EB">
      <w:pPr>
        <w:pStyle w:val="ListParagraph"/>
        <w:numPr>
          <w:ilvl w:val="0"/>
          <w:numId w:val="1"/>
        </w:numPr>
        <w:spacing w:after="0"/>
      </w:pPr>
      <w:r>
        <w:t>Utilization and Cost:  OHIC will not be using any cost or utilization measures for the meaningful improvement portion of their standards</w:t>
      </w:r>
    </w:p>
    <w:p w14:paraId="7694F519" w14:textId="77777777" w:rsidR="00B319EB" w:rsidRDefault="00B319EB" w:rsidP="00B319EB">
      <w:pPr>
        <w:pStyle w:val="ListParagraph"/>
        <w:numPr>
          <w:ilvl w:val="0"/>
          <w:numId w:val="1"/>
        </w:numPr>
        <w:spacing w:after="0"/>
      </w:pPr>
      <w:r>
        <w:t xml:space="preserve">Patient Experience:  </w:t>
      </w:r>
      <w:r w:rsidR="0078764B">
        <w:t xml:space="preserve">CAHPS and “How’s Your Health” were recommended at as tools, however, </w:t>
      </w:r>
      <w:r w:rsidR="00E16BE9">
        <w:t xml:space="preserve">there needs to be further discussion on the value of CAHPS and whether HYH might be better alternative, </w:t>
      </w:r>
      <w:r w:rsidR="0078764B">
        <w:t xml:space="preserve">who will be paying for the administration still need to be defined. </w:t>
      </w:r>
    </w:p>
    <w:p w14:paraId="4B8BB57F" w14:textId="77777777" w:rsidR="00B319EB" w:rsidRDefault="00B319EB" w:rsidP="00B319EB">
      <w:pPr>
        <w:spacing w:after="0"/>
      </w:pPr>
      <w:r>
        <w:t xml:space="preserve">It was recommended that “meaningful improvement” be defined, based upon the following principles.  </w:t>
      </w:r>
    </w:p>
    <w:p w14:paraId="49BE94E4" w14:textId="511BC6E8" w:rsidR="0078764B" w:rsidRDefault="0078764B" w:rsidP="00B319EB">
      <w:pPr>
        <w:pStyle w:val="ListParagraph"/>
        <w:numPr>
          <w:ilvl w:val="0"/>
          <w:numId w:val="2"/>
        </w:numPr>
        <w:spacing w:after="0"/>
      </w:pPr>
      <w:r>
        <w:t>The threshold for success will be set at the 75</w:t>
      </w:r>
      <w:r w:rsidRPr="0078764B">
        <w:rPr>
          <w:vertAlign w:val="superscript"/>
        </w:rPr>
        <w:t>th</w:t>
      </w:r>
      <w:r>
        <w:t xml:space="preserve"> percentile of the region (New England)</w:t>
      </w:r>
      <w:r w:rsidR="00173384">
        <w:t>, if a HEDIS measure, or the 75</w:t>
      </w:r>
      <w:r w:rsidR="00173384" w:rsidRPr="00204DD4">
        <w:rPr>
          <w:vertAlign w:val="superscript"/>
        </w:rPr>
        <w:t>th</w:t>
      </w:r>
      <w:r w:rsidR="00173384">
        <w:t xml:space="preserve"> percentile of the group</w:t>
      </w:r>
      <w:r>
        <w:t>.</w:t>
      </w:r>
      <w:r w:rsidR="00173384">
        <w:t xml:space="preserve"> In most cases the Commercial PPO benchmark will be used. </w:t>
      </w:r>
    </w:p>
    <w:p w14:paraId="2F62BACF" w14:textId="5754472E" w:rsidR="00B319EB" w:rsidRDefault="0078764B" w:rsidP="00B319EB">
      <w:pPr>
        <w:pStyle w:val="ListParagraph"/>
        <w:numPr>
          <w:ilvl w:val="0"/>
          <w:numId w:val="2"/>
        </w:numPr>
        <w:spacing w:after="0"/>
      </w:pPr>
      <w:r>
        <w:t xml:space="preserve">A practice can achieve success on a given measure by meeting/exceeding the threshold, or by improving by </w:t>
      </w:r>
      <w:r w:rsidR="00173384">
        <w:t>3 percentage points</w:t>
      </w:r>
      <w:r>
        <w:t>.</w:t>
      </w:r>
    </w:p>
    <w:p w14:paraId="79A551B7" w14:textId="525C60E2" w:rsidR="0078764B" w:rsidRDefault="0078764B" w:rsidP="00B319EB">
      <w:pPr>
        <w:pStyle w:val="ListParagraph"/>
        <w:numPr>
          <w:ilvl w:val="0"/>
          <w:numId w:val="2"/>
        </w:numPr>
        <w:spacing w:after="0"/>
      </w:pPr>
      <w:r>
        <w:t>A practice must meet</w:t>
      </w:r>
      <w:r w:rsidR="00173384">
        <w:t xml:space="preserve"> more than half of the measures</w:t>
      </w:r>
      <w:r>
        <w:t xml:space="preserve"> to </w:t>
      </w:r>
      <w:proofErr w:type="gramStart"/>
      <w:r>
        <w:t xml:space="preserve">successfully </w:t>
      </w:r>
      <w:r w:rsidR="00173384">
        <w:t xml:space="preserve"> demonstrate</w:t>
      </w:r>
      <w:proofErr w:type="gramEnd"/>
      <w:r w:rsidR="00173384">
        <w:t xml:space="preserve"> the OHIC standard of </w:t>
      </w:r>
      <w:r>
        <w:t>improve</w:t>
      </w:r>
      <w:r w:rsidR="00173384">
        <w:t>ment</w:t>
      </w:r>
      <w:r>
        <w:t xml:space="preserve">.  </w:t>
      </w:r>
    </w:p>
    <w:p w14:paraId="563CD45D" w14:textId="77777777" w:rsidR="00B319EB" w:rsidRDefault="00B319EB" w:rsidP="00B319EB">
      <w:pPr>
        <w:spacing w:after="0"/>
      </w:pPr>
      <w:r>
        <w:t>Additionally, some general principles were recommended:</w:t>
      </w:r>
    </w:p>
    <w:p w14:paraId="76ABC96D" w14:textId="77777777" w:rsidR="00B319EB" w:rsidRDefault="00B319EB" w:rsidP="00B319EB">
      <w:pPr>
        <w:pStyle w:val="ListParagraph"/>
        <w:numPr>
          <w:ilvl w:val="0"/>
          <w:numId w:val="1"/>
        </w:numPr>
        <w:spacing w:after="0"/>
      </w:pPr>
      <w:r>
        <w:t xml:space="preserve">No measures will be used for meaningful improvement, prior to being measured for one year.  </w:t>
      </w:r>
      <w:r w:rsidR="0078764B">
        <w:t>This allows for a testing period for a given measure, in addition to time to set baseline.</w:t>
      </w:r>
    </w:p>
    <w:p w14:paraId="375B4C0A" w14:textId="77777777" w:rsidR="0078764B" w:rsidRDefault="0041554E" w:rsidP="00B319EB">
      <w:pPr>
        <w:pStyle w:val="ListParagraph"/>
        <w:numPr>
          <w:ilvl w:val="0"/>
          <w:numId w:val="1"/>
        </w:numPr>
        <w:spacing w:after="0"/>
      </w:pPr>
      <w:r>
        <w:t xml:space="preserve">If baseline year methodology appears to have significant flaws, as determined by the CTC-RI Data and Evaluation Committee or OHIC designated body, it is not placed into contractual performance use.  </w:t>
      </w:r>
    </w:p>
    <w:p w14:paraId="16159CB7" w14:textId="39BF81B5" w:rsidR="00173384" w:rsidRDefault="00173384" w:rsidP="00B319EB">
      <w:pPr>
        <w:pStyle w:val="ListParagraph"/>
        <w:numPr>
          <w:ilvl w:val="0"/>
          <w:numId w:val="1"/>
        </w:numPr>
        <w:spacing w:after="0"/>
      </w:pPr>
      <w:r>
        <w:t>Each year Data and Evaluation will re-evaluate the measures, thresholds and minimum improvement amount, if not meeting threshold. If OHIC designates another body to do this, then that body should annually conduct such a review.</w:t>
      </w:r>
    </w:p>
    <w:p w14:paraId="02DFD699" w14:textId="51CD1561" w:rsidR="00173384" w:rsidRDefault="00173384" w:rsidP="00B319EB">
      <w:pPr>
        <w:pStyle w:val="ListParagraph"/>
        <w:numPr>
          <w:ilvl w:val="0"/>
          <w:numId w:val="1"/>
        </w:numPr>
        <w:spacing w:after="0"/>
      </w:pPr>
      <w:r>
        <w:lastRenderedPageBreak/>
        <w:t>Data and Evaluation is willing to consider modifications to current practices as needed to comply with requirements of the OHHIC (</w:t>
      </w:r>
      <w:proofErr w:type="spellStart"/>
      <w:r>
        <w:t>eg</w:t>
      </w:r>
      <w:proofErr w:type="spellEnd"/>
      <w:r>
        <w:t xml:space="preserve"> public sessions, more consumer representation).</w:t>
      </w:r>
    </w:p>
    <w:p w14:paraId="4480F5C6" w14:textId="77777777" w:rsidR="00B319EB" w:rsidRPr="0078764B" w:rsidRDefault="0078764B" w:rsidP="00B319EB">
      <w:pPr>
        <w:spacing w:after="0"/>
        <w:rPr>
          <w:b/>
          <w:u w:val="single"/>
        </w:rPr>
      </w:pPr>
      <w:r w:rsidRPr="0078764B">
        <w:rPr>
          <w:b/>
          <w:u w:val="single"/>
        </w:rPr>
        <w:t>Table 1:  Current CTC-RI/PCMH-Kids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19EB" w14:paraId="7864CFC5" w14:textId="77777777" w:rsidTr="00B319EB">
        <w:tc>
          <w:tcPr>
            <w:tcW w:w="4788" w:type="dxa"/>
          </w:tcPr>
          <w:p w14:paraId="2261741D" w14:textId="77777777" w:rsidR="00B319EB" w:rsidRDefault="00B319EB" w:rsidP="00B319EB">
            <w:r>
              <w:t>Measure</w:t>
            </w:r>
          </w:p>
        </w:tc>
        <w:tc>
          <w:tcPr>
            <w:tcW w:w="4788" w:type="dxa"/>
          </w:tcPr>
          <w:p w14:paraId="0FB04572" w14:textId="77777777" w:rsidR="00B319EB" w:rsidRDefault="00B319EB" w:rsidP="00B319EB">
            <w:r>
              <w:t>Adult/Pediatric</w:t>
            </w:r>
          </w:p>
        </w:tc>
      </w:tr>
      <w:tr w:rsidR="00B319EB" w14:paraId="0410318E" w14:textId="77777777" w:rsidTr="00B319EB">
        <w:tc>
          <w:tcPr>
            <w:tcW w:w="4788" w:type="dxa"/>
          </w:tcPr>
          <w:p w14:paraId="4E83C2F5" w14:textId="7E619FF7" w:rsidR="00B319EB" w:rsidRDefault="00B319EB" w:rsidP="00B319EB">
            <w:r>
              <w:t>Comprehensive Diabetes Care:  Hemoglobin A1c (HbA1c) Poor Control (&gt;9.0%)</w:t>
            </w:r>
            <w:r w:rsidR="001A6237">
              <w:t xml:space="preserve"> (presently measured, not contractual)</w:t>
            </w:r>
          </w:p>
        </w:tc>
        <w:tc>
          <w:tcPr>
            <w:tcW w:w="4788" w:type="dxa"/>
          </w:tcPr>
          <w:p w14:paraId="2FDB1DBA" w14:textId="77777777" w:rsidR="00B319EB" w:rsidRDefault="00B319EB" w:rsidP="00B319EB">
            <w:r>
              <w:t>Adult</w:t>
            </w:r>
          </w:p>
        </w:tc>
      </w:tr>
      <w:tr w:rsidR="00B319EB" w14:paraId="60D91207" w14:textId="77777777" w:rsidTr="00B319EB">
        <w:tc>
          <w:tcPr>
            <w:tcW w:w="4788" w:type="dxa"/>
          </w:tcPr>
          <w:p w14:paraId="7C49C4E9" w14:textId="77777777" w:rsidR="00B319EB" w:rsidRDefault="00B319EB" w:rsidP="00B319EB">
            <w:r>
              <w:t>Comprehensive Diabetes Care:  Blood Pressure Control (&lt;140/90 mm Hg)</w:t>
            </w:r>
          </w:p>
        </w:tc>
        <w:tc>
          <w:tcPr>
            <w:tcW w:w="4788" w:type="dxa"/>
          </w:tcPr>
          <w:p w14:paraId="351424EB" w14:textId="77777777" w:rsidR="00B319EB" w:rsidRDefault="00B319EB" w:rsidP="00B319EB">
            <w:r>
              <w:t>Adult</w:t>
            </w:r>
          </w:p>
        </w:tc>
      </w:tr>
      <w:tr w:rsidR="00B319EB" w14:paraId="46AEF1C0" w14:textId="77777777" w:rsidTr="00B319EB">
        <w:tc>
          <w:tcPr>
            <w:tcW w:w="4788" w:type="dxa"/>
          </w:tcPr>
          <w:p w14:paraId="02957B67" w14:textId="3CFDA607" w:rsidR="00B319EB" w:rsidRDefault="00B319EB" w:rsidP="00173384">
            <w:r>
              <w:t>Comprehensive Diabetes Care:  Hemog</w:t>
            </w:r>
            <w:r w:rsidR="00173384">
              <w:t>l</w:t>
            </w:r>
            <w:r>
              <w:t>obin A1c Control (&lt;8.0%)</w:t>
            </w:r>
          </w:p>
        </w:tc>
        <w:tc>
          <w:tcPr>
            <w:tcW w:w="4788" w:type="dxa"/>
          </w:tcPr>
          <w:p w14:paraId="3BABBE43" w14:textId="77777777" w:rsidR="00B319EB" w:rsidRDefault="00B319EB" w:rsidP="00B319EB">
            <w:r>
              <w:t>Adult</w:t>
            </w:r>
          </w:p>
        </w:tc>
      </w:tr>
      <w:tr w:rsidR="00B319EB" w14:paraId="16025F6A" w14:textId="77777777" w:rsidTr="00B319EB">
        <w:tc>
          <w:tcPr>
            <w:tcW w:w="4788" w:type="dxa"/>
          </w:tcPr>
          <w:p w14:paraId="407D2253" w14:textId="77777777" w:rsidR="00B319EB" w:rsidRDefault="00B319EB" w:rsidP="00B319EB">
            <w:r>
              <w:t>Controlling High Blood Pressure</w:t>
            </w:r>
          </w:p>
        </w:tc>
        <w:tc>
          <w:tcPr>
            <w:tcW w:w="4788" w:type="dxa"/>
          </w:tcPr>
          <w:p w14:paraId="1B9AA03F" w14:textId="77777777" w:rsidR="00B319EB" w:rsidRDefault="00B319EB" w:rsidP="00B319EB">
            <w:r>
              <w:t>Adult</w:t>
            </w:r>
          </w:p>
        </w:tc>
      </w:tr>
      <w:tr w:rsidR="00B319EB" w14:paraId="64E552C3" w14:textId="77777777" w:rsidTr="00B319EB">
        <w:tc>
          <w:tcPr>
            <w:tcW w:w="4788" w:type="dxa"/>
          </w:tcPr>
          <w:p w14:paraId="741326C4" w14:textId="77777777" w:rsidR="00B319EB" w:rsidRDefault="00B319EB" w:rsidP="00B319EB">
            <w:r>
              <w:t>Tobacco Use:  Screening and Cessation Intervention</w:t>
            </w:r>
          </w:p>
        </w:tc>
        <w:tc>
          <w:tcPr>
            <w:tcW w:w="4788" w:type="dxa"/>
          </w:tcPr>
          <w:p w14:paraId="1DC3356D" w14:textId="77777777" w:rsidR="00B319EB" w:rsidRDefault="00B319EB" w:rsidP="00B319EB">
            <w:r>
              <w:t>Adult</w:t>
            </w:r>
          </w:p>
        </w:tc>
      </w:tr>
      <w:tr w:rsidR="00B319EB" w14:paraId="60C3DD7E" w14:textId="77777777" w:rsidTr="00B319EB">
        <w:tc>
          <w:tcPr>
            <w:tcW w:w="4788" w:type="dxa"/>
          </w:tcPr>
          <w:p w14:paraId="4CA4FD92" w14:textId="2A6BA33A" w:rsidR="00B319EB" w:rsidRDefault="00B319EB" w:rsidP="00B319EB">
            <w:r>
              <w:t>Adult Body Mass Index (BMI) Assessment</w:t>
            </w:r>
            <w:r w:rsidR="001A6237">
              <w:t xml:space="preserve"> (two age cohorts)</w:t>
            </w:r>
          </w:p>
        </w:tc>
        <w:tc>
          <w:tcPr>
            <w:tcW w:w="4788" w:type="dxa"/>
          </w:tcPr>
          <w:p w14:paraId="70A0B81B" w14:textId="77777777" w:rsidR="00B319EB" w:rsidRDefault="00B319EB" w:rsidP="00B319EB">
            <w:r>
              <w:t>Adult</w:t>
            </w:r>
          </w:p>
        </w:tc>
      </w:tr>
      <w:tr w:rsidR="0078764B" w14:paraId="37ACC605" w14:textId="77777777" w:rsidTr="00B319EB">
        <w:tc>
          <w:tcPr>
            <w:tcW w:w="4788" w:type="dxa"/>
          </w:tcPr>
          <w:p w14:paraId="55150403" w14:textId="77777777" w:rsidR="0078764B" w:rsidRDefault="0078764B" w:rsidP="00B319EB">
            <w:r>
              <w:t>Weight Assessment and Counseling for Nutrition and Physical Activity for Children/Adolescents:  Body Mass Index Assessment for Children/Adolescents</w:t>
            </w:r>
          </w:p>
        </w:tc>
        <w:tc>
          <w:tcPr>
            <w:tcW w:w="4788" w:type="dxa"/>
          </w:tcPr>
          <w:p w14:paraId="2247CDBE" w14:textId="77777777" w:rsidR="0078764B" w:rsidRDefault="0078764B" w:rsidP="00B319EB">
            <w:r>
              <w:t>Pediatric</w:t>
            </w:r>
          </w:p>
        </w:tc>
      </w:tr>
      <w:tr w:rsidR="0078764B" w14:paraId="4DB86F2D" w14:textId="77777777" w:rsidTr="00B319EB">
        <w:tc>
          <w:tcPr>
            <w:tcW w:w="4788" w:type="dxa"/>
          </w:tcPr>
          <w:p w14:paraId="7A35790B" w14:textId="77777777" w:rsidR="0078764B" w:rsidRDefault="0041554E" w:rsidP="00B319EB">
            <w:r>
              <w:t>Developmental Screening</w:t>
            </w:r>
          </w:p>
        </w:tc>
        <w:tc>
          <w:tcPr>
            <w:tcW w:w="4788" w:type="dxa"/>
          </w:tcPr>
          <w:p w14:paraId="707182EB" w14:textId="77777777" w:rsidR="0078764B" w:rsidRDefault="0041554E" w:rsidP="00B319EB">
            <w:r>
              <w:t>Pediatric</w:t>
            </w:r>
          </w:p>
        </w:tc>
      </w:tr>
    </w:tbl>
    <w:p w14:paraId="378DEA4A" w14:textId="77777777" w:rsidR="00B319EB" w:rsidRDefault="00B319EB" w:rsidP="00B319EB">
      <w:pPr>
        <w:spacing w:after="0"/>
      </w:pPr>
    </w:p>
    <w:p w14:paraId="5A61E3A9" w14:textId="77777777" w:rsidR="00B319EB" w:rsidRDefault="00B319EB" w:rsidP="00B319EB">
      <w:pPr>
        <w:spacing w:after="0"/>
      </w:pPr>
    </w:p>
    <w:sectPr w:rsidR="00B3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67AEDF" w15:done="0"/>
  <w15:commentEx w15:paraId="3CAC91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9F4"/>
    <w:multiLevelType w:val="hybridMultilevel"/>
    <w:tmpl w:val="25EAE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E4400C"/>
    <w:multiLevelType w:val="hybridMultilevel"/>
    <w:tmpl w:val="11D09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lmann, Peter">
    <w15:presenceInfo w15:providerId="AD" w15:userId="S-1-5-21-970394061-1422550640-1757479407-420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B"/>
    <w:rsid w:val="00173384"/>
    <w:rsid w:val="001A6237"/>
    <w:rsid w:val="00204DD4"/>
    <w:rsid w:val="0041554E"/>
    <w:rsid w:val="00626588"/>
    <w:rsid w:val="0078764B"/>
    <w:rsid w:val="007F5BC2"/>
    <w:rsid w:val="00B319EB"/>
    <w:rsid w:val="00E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F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EB"/>
    <w:pPr>
      <w:ind w:left="720"/>
      <w:contextualSpacing/>
    </w:pPr>
  </w:style>
  <w:style w:type="table" w:styleId="TableGrid">
    <w:name w:val="Table Grid"/>
    <w:basedOn w:val="TableNormal"/>
    <w:uiPriority w:val="59"/>
    <w:rsid w:val="00B3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EB"/>
    <w:pPr>
      <w:ind w:left="720"/>
      <w:contextualSpacing/>
    </w:pPr>
  </w:style>
  <w:style w:type="table" w:styleId="TableGrid">
    <w:name w:val="Table Grid"/>
    <w:basedOn w:val="TableNormal"/>
    <w:uiPriority w:val="59"/>
    <w:rsid w:val="00B3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Mobilio, Michael</cp:lastModifiedBy>
  <cp:revision>2</cp:revision>
  <dcterms:created xsi:type="dcterms:W3CDTF">2016-01-19T21:42:00Z</dcterms:created>
  <dcterms:modified xsi:type="dcterms:W3CDTF">2016-01-19T21:42:00Z</dcterms:modified>
</cp:coreProperties>
</file>