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1"/>
        <w:tblW w:w="0" w:type="auto"/>
        <w:tblLook w:val="04A0" w:firstRow="1" w:lastRow="0" w:firstColumn="1" w:lastColumn="0" w:noHBand="0" w:noVBand="1"/>
      </w:tblPr>
      <w:tblGrid>
        <w:gridCol w:w="1975"/>
        <w:gridCol w:w="7375"/>
      </w:tblGrid>
      <w:tr w:rsidR="001B51A9" w:rsidRPr="001B51A9" w14:paraId="53D07FD9"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979E198" w14:textId="77777777" w:rsidR="001B51A9" w:rsidRPr="001B51A9" w:rsidRDefault="001B51A9" w:rsidP="001B51A9">
            <w:pPr>
              <w:jc w:val="center"/>
              <w:rPr>
                <w:u w:val="single"/>
              </w:rPr>
            </w:pPr>
            <w:r w:rsidRPr="001B51A9">
              <w:rPr>
                <w:u w:val="single"/>
              </w:rPr>
              <w:t>Overarching Principles and Definitions</w:t>
            </w:r>
          </w:p>
        </w:tc>
      </w:tr>
      <w:tr w:rsidR="001B51A9" w:rsidRPr="001B51A9" w14:paraId="1E5C0CF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0C59CF3" w14:textId="77777777" w:rsidR="001B51A9" w:rsidRPr="001B51A9" w:rsidRDefault="001B51A9" w:rsidP="001B51A9">
            <w:r w:rsidRPr="001B51A9">
              <w:t>Active Patients:</w:t>
            </w:r>
          </w:p>
        </w:tc>
        <w:tc>
          <w:tcPr>
            <w:tcW w:w="7375" w:type="dxa"/>
          </w:tcPr>
          <w:p w14:paraId="3822C61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Out patients seen by a primary care clinician of the PCMH anytime within the last 24 months</w:t>
            </w:r>
          </w:p>
          <w:p w14:paraId="2915E920"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89D393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Definition of primary care clinician includes the following: MD/DO, Physician’s Assistant (PA), and Certified Nurse Practitioner (CNP). </w:t>
            </w:r>
          </w:p>
          <w:p w14:paraId="52A966A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7D3BC74"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The following are the eligible CPT/HCPCS office visit codes for determining Active Patient status: </w:t>
            </w:r>
          </w:p>
          <w:p w14:paraId="20F1994A"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99201-99205; 99212-99215;  99324-99337; 99341-99350; 99381 – 99387; 99391-99397;  99490, 99495-99496, G0402; G0438-G0439</w:t>
            </w:r>
          </w:p>
          <w:p w14:paraId="6F927BF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61AB2CB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Acceptable Exclusions: </w:t>
            </w:r>
          </w:p>
          <w:p w14:paraId="7EDE5A57"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Patients who have left the practice, as determined by one or more of the following:</w:t>
            </w:r>
          </w:p>
          <w:p w14:paraId="333CA5DB"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asked for records to be transferred or otherwise indicated that they are leaving the practice</w:t>
            </w:r>
          </w:p>
          <w:p w14:paraId="38B38BEA"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passed away</w:t>
            </w:r>
          </w:p>
          <w:p w14:paraId="5B0B632D"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cannot be reached on 3 consecutive occasions via phone or emergency contact person</w:t>
            </w:r>
          </w:p>
          <w:p w14:paraId="5EE8A703"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been discharged according to practice’s discharge policy</w:t>
            </w:r>
          </w:p>
        </w:tc>
      </w:tr>
      <w:tr w:rsidR="001B51A9" w:rsidRPr="001B51A9" w14:paraId="6CAC89F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C6AF2CB" w14:textId="77777777" w:rsidR="001B51A9" w:rsidRPr="001B51A9" w:rsidRDefault="001B51A9" w:rsidP="001B51A9">
            <w:r w:rsidRPr="001B51A9">
              <w:t>Outpatient Visit Criteria:</w:t>
            </w:r>
          </w:p>
        </w:tc>
        <w:tc>
          <w:tcPr>
            <w:tcW w:w="7375" w:type="dxa"/>
          </w:tcPr>
          <w:p w14:paraId="3DF12805"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 xml:space="preserve">The following are the eligible CPT/HCPCS office visit codes for determining if a patient was seen during the measurement year. These codes are identical to those identifying active patients, with the exception of 99490 (CCM code) used in the active patient list, but not outpatient visit codes. </w:t>
            </w:r>
          </w:p>
          <w:p w14:paraId="67990C39"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p w14:paraId="7576E0B0"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99201-99205; 99212-99215;  99324-99337; 99341-99350; 99381 – 99387; 99391-99397;  99495-99496, G0402; G0438-G0439</w:t>
            </w:r>
          </w:p>
          <w:p w14:paraId="6C96B50C"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tc>
      </w:tr>
      <w:tr w:rsidR="001B51A9" w:rsidRPr="001B51A9" w14:paraId="6FB15F61"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235A545" w14:textId="77777777" w:rsidR="001B51A9" w:rsidRPr="001B51A9" w:rsidRDefault="001B51A9" w:rsidP="001B51A9">
            <w:r w:rsidRPr="001B51A9">
              <w:t>Encounter Types:</w:t>
            </w:r>
          </w:p>
        </w:tc>
        <w:tc>
          <w:tcPr>
            <w:tcW w:w="7375" w:type="dxa"/>
          </w:tcPr>
          <w:p w14:paraId="4F12082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In addition to following CPT/HCPCS code level of service guidelines to establish an eligible population, report writers should ensure encounter types are limited to include only face to face encounter types for those measures requiring a face to face encounter. </w:t>
            </w:r>
          </w:p>
          <w:p w14:paraId="01CEBF72"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739329A4"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Example: Depression screening: Patient turns 18 in July 2016. In the record they have two “encounters” in 2016 – a well visit in April and a nurse care manager phone call in August. Failure to limit encounter types correctly could result in the nurse care manager visit erroneously triggering this patient in the eligible population.</w:t>
            </w:r>
          </w:p>
        </w:tc>
      </w:tr>
      <w:tr w:rsidR="001B51A9" w:rsidRPr="001B51A9" w14:paraId="6684E8F7"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2A50540" w14:textId="77777777" w:rsidR="001B51A9" w:rsidRPr="001B51A9" w:rsidRDefault="001B51A9" w:rsidP="001B51A9">
            <w:r w:rsidRPr="001B51A9">
              <w:t>Practices using shared EHR systems:</w:t>
            </w:r>
          </w:p>
        </w:tc>
        <w:tc>
          <w:tcPr>
            <w:tcW w:w="7375" w:type="dxa"/>
          </w:tcPr>
          <w:p w14:paraId="0FC72937"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Denominator calculation are based upon encounters in the PCMH unless otherwise specified. Numerator events may be from any source (e.g. a recorded BMI or lab value).</w:t>
            </w:r>
          </w:p>
        </w:tc>
      </w:tr>
      <w:tr w:rsidR="001B51A9" w:rsidRPr="001B51A9" w14:paraId="49D2326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3EA2F3D" w14:textId="77777777" w:rsidR="001B51A9" w:rsidRPr="001B51A9" w:rsidRDefault="001B51A9" w:rsidP="001B51A9">
            <w:r w:rsidRPr="001B51A9">
              <w:t>Value Set Information:</w:t>
            </w:r>
          </w:p>
        </w:tc>
        <w:tc>
          <w:tcPr>
            <w:tcW w:w="7375" w:type="dxa"/>
          </w:tcPr>
          <w:p w14:paraId="1A22F308"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HEDIS® measures reference Value Sets are available for download at store.ncqa.org under the search term: “2016 Quality Rating System (QRS) HEDIS® Value Set Directory.” See attached “Instructions for Obtaining “2016 Quality Rating System (QRS) HEDIS® Value Set Directory.” </w:t>
            </w:r>
          </w:p>
        </w:tc>
      </w:tr>
    </w:tbl>
    <w:p w14:paraId="31CFFD5D" w14:textId="61542308" w:rsidR="001B51A9" w:rsidRDefault="001B51A9">
      <w:r>
        <w:br w:type="page"/>
      </w:r>
    </w:p>
    <w:tbl>
      <w:tblPr>
        <w:tblStyle w:val="GridTable4-Accent3"/>
        <w:tblW w:w="0" w:type="auto"/>
        <w:tblLook w:val="04A0" w:firstRow="1" w:lastRow="0" w:firstColumn="1" w:lastColumn="0" w:noHBand="0" w:noVBand="1"/>
      </w:tblPr>
      <w:tblGrid>
        <w:gridCol w:w="1975"/>
        <w:gridCol w:w="7375"/>
      </w:tblGrid>
      <w:tr w:rsidR="001B51A9" w:rsidRPr="00917CBF" w14:paraId="7748D57B"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CCBE3B" w14:textId="77777777" w:rsidR="001B51A9" w:rsidRPr="00917CBF" w:rsidRDefault="001B51A9" w:rsidP="00FB7513">
            <w:r w:rsidRPr="00917CBF">
              <w:lastRenderedPageBreak/>
              <w:t>Measure:</w:t>
            </w:r>
          </w:p>
        </w:tc>
        <w:tc>
          <w:tcPr>
            <w:tcW w:w="7375" w:type="dxa"/>
          </w:tcPr>
          <w:p w14:paraId="68AAB0AD" w14:textId="577BAC19"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Scr</w:t>
            </w:r>
            <w:r>
              <w:t>eening for Clinical Depression</w:t>
            </w:r>
          </w:p>
        </w:tc>
      </w:tr>
      <w:tr w:rsidR="001B51A9" w:rsidRPr="00917CBF" w14:paraId="17E9F04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32BA75" w14:textId="77777777" w:rsidR="001B51A9" w:rsidRPr="00917CBF" w:rsidRDefault="001B51A9" w:rsidP="00FB7513">
            <w:r w:rsidRPr="00917CBF">
              <w:t>Description:</w:t>
            </w:r>
          </w:p>
        </w:tc>
        <w:tc>
          <w:tcPr>
            <w:tcW w:w="7375" w:type="dxa"/>
          </w:tcPr>
          <w:p w14:paraId="7527EE32" w14:textId="4E025AA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clinical depression using an age appropriate standardized tool </w:t>
            </w:r>
          </w:p>
        </w:tc>
      </w:tr>
      <w:tr w:rsidR="001B51A9" w:rsidRPr="00917CBF" w14:paraId="590497F0"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4B272F0" w14:textId="77777777" w:rsidR="001B51A9" w:rsidRPr="00917CBF" w:rsidRDefault="001B51A9" w:rsidP="00FB7513">
            <w:r w:rsidRPr="00917CBF">
              <w:t>Age criteria:</w:t>
            </w:r>
          </w:p>
        </w:tc>
        <w:tc>
          <w:tcPr>
            <w:tcW w:w="7375" w:type="dxa"/>
          </w:tcPr>
          <w:p w14:paraId="4CF010B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0BD364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5D85C2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3853D82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0398FCE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1F2C145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791564A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4C3886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1C55A02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1BECE65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6A4E1F2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520D084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1CB84A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045B8D7" w14:textId="77777777" w:rsidR="001B51A9" w:rsidRPr="00917CBF" w:rsidRDefault="001B51A9" w:rsidP="00FB7513">
            <w:r w:rsidRPr="00917CBF">
              <w:t>Numerator Statement:</w:t>
            </w:r>
          </w:p>
        </w:tc>
        <w:tc>
          <w:tcPr>
            <w:tcW w:w="7375" w:type="dxa"/>
          </w:tcPr>
          <w:p w14:paraId="2DD0E41A" w14:textId="22DF218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bookmarkStart w:id="0" w:name="_GoBack"/>
            <w:bookmarkEnd w:id="0"/>
            <w:r w:rsidRPr="00917CBF">
              <w:t xml:space="preserve"> the date of encounter screened for clinical depression at least once during the measurement period using an age appropriate standardized tool </w:t>
            </w:r>
          </w:p>
        </w:tc>
      </w:tr>
      <w:tr w:rsidR="001B51A9" w:rsidRPr="00917CBF" w14:paraId="18E5DF58"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7ADA269" w14:textId="77777777" w:rsidR="001B51A9" w:rsidRPr="00917CBF" w:rsidRDefault="001B51A9" w:rsidP="00FB7513">
            <w:r w:rsidRPr="00917CBF">
              <w:t>Denominator Statement:</w:t>
            </w:r>
          </w:p>
        </w:tc>
        <w:tc>
          <w:tcPr>
            <w:tcW w:w="7375" w:type="dxa"/>
          </w:tcPr>
          <w:p w14:paraId="1B3C6D83"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78420C7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A729C7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B5F4D5" w14:textId="77777777" w:rsidR="001B51A9" w:rsidRPr="00917CBF" w:rsidRDefault="001B51A9" w:rsidP="00FB7513">
            <w:r w:rsidRPr="00917CBF">
              <w:t>Acceptable Exclusions:</w:t>
            </w:r>
          </w:p>
        </w:tc>
        <w:tc>
          <w:tcPr>
            <w:tcW w:w="7375" w:type="dxa"/>
          </w:tcPr>
          <w:p w14:paraId="707E5C41"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3AA61164"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FF5F2D6"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6971B67C"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39957E3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9E9973D" w14:textId="77777777" w:rsidR="001B51A9" w:rsidRPr="00917CBF" w:rsidRDefault="001B51A9" w:rsidP="00FB7513">
            <w:r w:rsidRPr="00917CBF">
              <w:t>Adult Screening Tools:</w:t>
            </w:r>
          </w:p>
        </w:tc>
        <w:tc>
          <w:tcPr>
            <w:tcW w:w="7375" w:type="dxa"/>
          </w:tcPr>
          <w:p w14:paraId="015BCB5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Acceptable tools include the Patient Health Questionnaire (PHQ-9</w:t>
            </w:r>
            <w:r>
              <w:t>)</w:t>
            </w:r>
          </w:p>
        </w:tc>
      </w:tr>
      <w:tr w:rsidR="001B51A9" w:rsidRPr="00917CBF" w14:paraId="1BFE26C2"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17A5C6" w14:textId="77777777" w:rsidR="001B51A9" w:rsidRPr="00917CBF" w:rsidRDefault="001B51A9" w:rsidP="00FB7513">
            <w:r w:rsidRPr="00917CBF">
              <w:t>Look back Period:</w:t>
            </w:r>
          </w:p>
        </w:tc>
        <w:tc>
          <w:tcPr>
            <w:tcW w:w="7375" w:type="dxa"/>
          </w:tcPr>
          <w:p w14:paraId="213F7F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676BC1DB"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021924F" w14:textId="77777777" w:rsidR="001B51A9" w:rsidRPr="00917CBF" w:rsidRDefault="001B51A9" w:rsidP="00FB7513">
            <w:r>
              <w:t>Identification of High Risk Population for follow-up in 5-7 months:</w:t>
            </w:r>
          </w:p>
        </w:tc>
        <w:tc>
          <w:tcPr>
            <w:tcW w:w="7375" w:type="dxa"/>
          </w:tcPr>
          <w:p w14:paraId="22F68C2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 xml:space="preserve">Patients with a PHQ score &gt;=10 </w:t>
            </w:r>
          </w:p>
        </w:tc>
      </w:tr>
      <w:tr w:rsidR="001B51A9" w:rsidRPr="00917CBF" w14:paraId="24F6C8F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8E94B" w14:textId="77777777" w:rsidR="001B51A9" w:rsidRPr="00917CBF" w:rsidRDefault="001B51A9" w:rsidP="00FB7513">
            <w:r>
              <w:t>Source:</w:t>
            </w:r>
          </w:p>
        </w:tc>
        <w:tc>
          <w:tcPr>
            <w:tcW w:w="7375" w:type="dxa"/>
          </w:tcPr>
          <w:p w14:paraId="071AA9F5"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73D0C970" w14:textId="77777777" w:rsidR="00CC3360" w:rsidRDefault="00CC3360"/>
    <w:p w14:paraId="436E482C" w14:textId="77777777" w:rsidR="001B51A9" w:rsidRDefault="001B51A9"/>
    <w:p w14:paraId="1337A9C9" w14:textId="77777777" w:rsidR="00CC3360"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5AB7E8C2"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011F56" w14:textId="77777777" w:rsidR="001B51A9" w:rsidRPr="00917CBF" w:rsidRDefault="001B51A9" w:rsidP="00FB7513">
            <w:r w:rsidRPr="00917CBF">
              <w:lastRenderedPageBreak/>
              <w:t>Measure:</w:t>
            </w:r>
          </w:p>
        </w:tc>
        <w:tc>
          <w:tcPr>
            <w:tcW w:w="7375" w:type="dxa"/>
          </w:tcPr>
          <w:p w14:paraId="5B1BF5F7" w14:textId="3BA37377"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 xml:space="preserve">Screening for </w:t>
            </w:r>
            <w:r>
              <w:t>Anxiety</w:t>
            </w:r>
          </w:p>
        </w:tc>
      </w:tr>
      <w:tr w:rsidR="001B51A9" w:rsidRPr="00917CBF" w14:paraId="4C87400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C69471F" w14:textId="77777777" w:rsidR="001B51A9" w:rsidRPr="00917CBF" w:rsidRDefault="001B51A9" w:rsidP="00FB7513">
            <w:r w:rsidRPr="00917CBF">
              <w:t>Description:</w:t>
            </w:r>
          </w:p>
        </w:tc>
        <w:tc>
          <w:tcPr>
            <w:tcW w:w="7375" w:type="dxa"/>
          </w:tcPr>
          <w:p w14:paraId="4DDA58A3" w14:textId="4B5CE47A" w:rsidR="001B51A9" w:rsidRPr="00917CBF" w:rsidRDefault="001B51A9" w:rsidP="001B51A9">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w:t>
            </w:r>
            <w:r>
              <w:t>anxiety</w:t>
            </w:r>
            <w:r w:rsidRPr="00917CBF">
              <w:t xml:space="preserve"> using </w:t>
            </w:r>
            <w:r>
              <w:t>a</w:t>
            </w:r>
            <w:r w:rsidRPr="00917CBF">
              <w:t xml:space="preserve"> standardized tool </w:t>
            </w:r>
          </w:p>
        </w:tc>
      </w:tr>
      <w:tr w:rsidR="001B51A9" w:rsidRPr="00917CBF" w14:paraId="5218B1A3"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BB02C13" w14:textId="77777777" w:rsidR="001B51A9" w:rsidRPr="00917CBF" w:rsidRDefault="001B51A9" w:rsidP="00FB7513">
            <w:r w:rsidRPr="00917CBF">
              <w:t>Age criteria:</w:t>
            </w:r>
          </w:p>
        </w:tc>
        <w:tc>
          <w:tcPr>
            <w:tcW w:w="7375" w:type="dxa"/>
          </w:tcPr>
          <w:p w14:paraId="3097C5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497E79A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140E1AA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7C21D68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392FF30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7F8B224A"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17AF6D6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005512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2707103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55071AE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0C9EE2F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4676AEB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500744B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63A54A" w14:textId="77777777" w:rsidR="001B51A9" w:rsidRPr="00917CBF" w:rsidRDefault="001B51A9" w:rsidP="00FB7513">
            <w:r w:rsidRPr="00917CBF">
              <w:t>Numerator Statement:</w:t>
            </w:r>
          </w:p>
        </w:tc>
        <w:tc>
          <w:tcPr>
            <w:tcW w:w="7375" w:type="dxa"/>
          </w:tcPr>
          <w:p w14:paraId="41C8D103" w14:textId="73941354" w:rsidR="001B51A9" w:rsidRPr="00917CBF" w:rsidRDefault="001B51A9" w:rsidP="001B51A9">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r w:rsidRPr="00917CBF">
              <w:t xml:space="preserve"> the date of encounter screened for </w:t>
            </w:r>
            <w:r>
              <w:t>anxiety</w:t>
            </w:r>
            <w:r w:rsidRPr="00917CBF">
              <w:t xml:space="preserve"> at least once during the measurement period using </w:t>
            </w:r>
            <w:r>
              <w:t>a</w:t>
            </w:r>
            <w:r w:rsidRPr="00917CBF">
              <w:t xml:space="preserve"> standardized tool </w:t>
            </w:r>
          </w:p>
        </w:tc>
      </w:tr>
      <w:tr w:rsidR="001B51A9" w:rsidRPr="00917CBF" w14:paraId="1DC281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1E41E83" w14:textId="77777777" w:rsidR="001B51A9" w:rsidRPr="00917CBF" w:rsidRDefault="001B51A9" w:rsidP="00FB7513">
            <w:r w:rsidRPr="00917CBF">
              <w:t>Denominator Statement:</w:t>
            </w:r>
          </w:p>
        </w:tc>
        <w:tc>
          <w:tcPr>
            <w:tcW w:w="7375" w:type="dxa"/>
          </w:tcPr>
          <w:p w14:paraId="67734EF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4DAA6A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1FCBE83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9E100DE" w14:textId="77777777" w:rsidR="001B51A9" w:rsidRPr="00917CBF" w:rsidRDefault="001B51A9" w:rsidP="00FB7513">
            <w:r w:rsidRPr="00917CBF">
              <w:t>Acceptable Exclusions:</w:t>
            </w:r>
          </w:p>
        </w:tc>
        <w:tc>
          <w:tcPr>
            <w:tcW w:w="7375" w:type="dxa"/>
          </w:tcPr>
          <w:p w14:paraId="57EB26BA"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7339A4DA"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57645FF"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567F26C"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97F6592"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C982453" w14:textId="77777777" w:rsidR="001B51A9" w:rsidRPr="00917CBF" w:rsidRDefault="001B51A9" w:rsidP="00FB7513">
            <w:r w:rsidRPr="00917CBF">
              <w:t>Adult Screening Tools:</w:t>
            </w:r>
          </w:p>
        </w:tc>
        <w:tc>
          <w:tcPr>
            <w:tcW w:w="7375" w:type="dxa"/>
          </w:tcPr>
          <w:p w14:paraId="23B673A6" w14:textId="224CB8A1"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rsidRPr="00917CBF">
              <w:t xml:space="preserve">Acceptable tools include the </w:t>
            </w:r>
            <w:r>
              <w:t>GAD7</w:t>
            </w:r>
          </w:p>
        </w:tc>
      </w:tr>
      <w:tr w:rsidR="001B51A9" w:rsidRPr="00917CBF" w14:paraId="325B5EB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6869B5" w14:textId="77777777" w:rsidR="001B51A9" w:rsidRPr="00917CBF" w:rsidRDefault="001B51A9" w:rsidP="00FB7513">
            <w:r w:rsidRPr="00917CBF">
              <w:t>Look back Period:</w:t>
            </w:r>
          </w:p>
        </w:tc>
        <w:tc>
          <w:tcPr>
            <w:tcW w:w="7375" w:type="dxa"/>
          </w:tcPr>
          <w:p w14:paraId="1BAC0C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78997C2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64D091D" w14:textId="462324AC" w:rsidR="001B51A9" w:rsidRPr="00917CBF" w:rsidRDefault="001B51A9" w:rsidP="00FB7513">
            <w:r>
              <w:t>Identification of High Risk Population for follow-up in 5-7 months:</w:t>
            </w:r>
          </w:p>
        </w:tc>
        <w:tc>
          <w:tcPr>
            <w:tcW w:w="7375" w:type="dxa"/>
          </w:tcPr>
          <w:p w14:paraId="046382B1" w14:textId="4D42A663"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t xml:space="preserve">Patients with a GAD7 score &gt;=10 </w:t>
            </w:r>
          </w:p>
        </w:tc>
      </w:tr>
      <w:tr w:rsidR="001B51A9" w:rsidRPr="00917CBF" w14:paraId="460DCCF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33D5C7B" w14:textId="77777777" w:rsidR="001B51A9" w:rsidRPr="00917CBF" w:rsidRDefault="001B51A9" w:rsidP="00FB7513">
            <w:r>
              <w:t>Source:</w:t>
            </w:r>
          </w:p>
        </w:tc>
        <w:tc>
          <w:tcPr>
            <w:tcW w:w="7375" w:type="dxa"/>
          </w:tcPr>
          <w:p w14:paraId="5411B306"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39797D8F" w14:textId="1A21AD46" w:rsidR="00CC3360" w:rsidRDefault="00CC3360"/>
    <w:p w14:paraId="5BD9032A" w14:textId="13BFAE1B" w:rsidR="000F79D9"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78CF572C"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3E433A" w14:textId="77777777" w:rsidR="001B51A9" w:rsidRPr="00917CBF" w:rsidRDefault="001B51A9" w:rsidP="00FB7513">
            <w:r w:rsidRPr="00917CBF">
              <w:lastRenderedPageBreak/>
              <w:t>Measure:</w:t>
            </w:r>
          </w:p>
        </w:tc>
        <w:tc>
          <w:tcPr>
            <w:tcW w:w="7375" w:type="dxa"/>
          </w:tcPr>
          <w:p w14:paraId="0BA5F5B2" w14:textId="4C4D8616" w:rsidR="001B51A9" w:rsidRPr="00917CBF" w:rsidRDefault="001B51A9" w:rsidP="00B75965">
            <w:pPr>
              <w:cnfStyle w:val="100000000000" w:firstRow="1" w:lastRow="0" w:firstColumn="0" w:lastColumn="0" w:oddVBand="0" w:evenVBand="0" w:oddHBand="0" w:evenHBand="0" w:firstRowFirstColumn="0" w:firstRowLastColumn="0" w:lastRowFirstColumn="0" w:lastRowLastColumn="0"/>
            </w:pPr>
            <w:r w:rsidRPr="00917CBF">
              <w:t xml:space="preserve">Screening for </w:t>
            </w:r>
            <w:r w:rsidR="00B75965">
              <w:t>Substance Abuse</w:t>
            </w:r>
          </w:p>
        </w:tc>
      </w:tr>
      <w:tr w:rsidR="001B51A9" w:rsidRPr="00917CBF" w14:paraId="4027763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5024F3" w14:textId="77777777" w:rsidR="001B51A9" w:rsidRPr="00917CBF" w:rsidRDefault="001B51A9" w:rsidP="00FB7513">
            <w:r w:rsidRPr="00917CBF">
              <w:t>Description:</w:t>
            </w:r>
          </w:p>
        </w:tc>
        <w:tc>
          <w:tcPr>
            <w:tcW w:w="7375" w:type="dxa"/>
          </w:tcPr>
          <w:p w14:paraId="2EA662C2" w14:textId="7A7296A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w:t>
            </w:r>
            <w:r>
              <w:t>anxiety</w:t>
            </w:r>
            <w:r w:rsidRPr="00917CBF">
              <w:t xml:space="preserve"> using </w:t>
            </w:r>
            <w:r>
              <w:t>a</w:t>
            </w:r>
            <w:r w:rsidRPr="00917CBF">
              <w:t xml:space="preserve"> standardized tool </w:t>
            </w:r>
          </w:p>
        </w:tc>
      </w:tr>
      <w:tr w:rsidR="001B51A9" w:rsidRPr="00917CBF" w14:paraId="1B0346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4EE9EE7" w14:textId="77777777" w:rsidR="001B51A9" w:rsidRPr="00917CBF" w:rsidRDefault="001B51A9" w:rsidP="00FB7513">
            <w:r w:rsidRPr="00917CBF">
              <w:t>Age criteria:</w:t>
            </w:r>
          </w:p>
        </w:tc>
        <w:tc>
          <w:tcPr>
            <w:tcW w:w="7375" w:type="dxa"/>
          </w:tcPr>
          <w:p w14:paraId="1152E0F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38DC79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12EAD7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56C2991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027894F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66F6F69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2B5E96D6"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6CD5F0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6FC2FD0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2672214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037386E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020BD55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3E64C9E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7A69205" w14:textId="77777777" w:rsidR="001B51A9" w:rsidRPr="00917CBF" w:rsidRDefault="001B51A9" w:rsidP="00FB7513">
            <w:r w:rsidRPr="00917CBF">
              <w:t>Numerator Statement:</w:t>
            </w:r>
          </w:p>
        </w:tc>
        <w:tc>
          <w:tcPr>
            <w:tcW w:w="7375" w:type="dxa"/>
          </w:tcPr>
          <w:p w14:paraId="7C3CAA78" w14:textId="4BAAF3D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r w:rsidRPr="00917CBF">
              <w:t xml:space="preserve"> the date of encounter screened for </w:t>
            </w:r>
            <w:r>
              <w:t>anxiety</w:t>
            </w:r>
            <w:r w:rsidRPr="00917CBF">
              <w:t xml:space="preserve"> at least once during the measurement period using </w:t>
            </w:r>
            <w:r>
              <w:t>a</w:t>
            </w:r>
            <w:r w:rsidRPr="00917CBF">
              <w:t xml:space="preserve"> standardized tool </w:t>
            </w:r>
          </w:p>
        </w:tc>
      </w:tr>
      <w:tr w:rsidR="001B51A9" w:rsidRPr="00917CBF" w14:paraId="0D84F03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BA3B7E8" w14:textId="77777777" w:rsidR="001B51A9" w:rsidRPr="00917CBF" w:rsidRDefault="001B51A9" w:rsidP="00FB7513">
            <w:r w:rsidRPr="00917CBF">
              <w:t>Denominator Statement:</w:t>
            </w:r>
          </w:p>
        </w:tc>
        <w:tc>
          <w:tcPr>
            <w:tcW w:w="7375" w:type="dxa"/>
          </w:tcPr>
          <w:p w14:paraId="12D3103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46217B53"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79DE50DE"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00A914" w14:textId="77777777" w:rsidR="001B51A9" w:rsidRPr="00917CBF" w:rsidRDefault="001B51A9" w:rsidP="00FB7513">
            <w:r w:rsidRPr="00917CBF">
              <w:t>Acceptable Exclusions:</w:t>
            </w:r>
          </w:p>
        </w:tc>
        <w:tc>
          <w:tcPr>
            <w:tcW w:w="7375" w:type="dxa"/>
          </w:tcPr>
          <w:p w14:paraId="74632D18" w14:textId="77777777"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1BC5E0D7"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114F59F8"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C3B4BF9" w14:textId="77777777"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03E87FC"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0D14471" w14:textId="77777777" w:rsidR="001B51A9" w:rsidRPr="00917CBF" w:rsidRDefault="001B51A9" w:rsidP="00FB7513">
            <w:r w:rsidRPr="00917CBF">
              <w:t>Adult Screening Tools:</w:t>
            </w:r>
          </w:p>
        </w:tc>
        <w:tc>
          <w:tcPr>
            <w:tcW w:w="7375" w:type="dxa"/>
          </w:tcPr>
          <w:p w14:paraId="573B7D30" w14:textId="7A4E582E"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CAGE-AID</w:t>
            </w:r>
          </w:p>
        </w:tc>
      </w:tr>
      <w:tr w:rsidR="001B51A9" w:rsidRPr="00917CBF" w14:paraId="50285E5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F39774" w14:textId="77777777" w:rsidR="001B51A9" w:rsidRPr="00917CBF" w:rsidRDefault="001B51A9" w:rsidP="00FB7513">
            <w:r w:rsidRPr="00917CBF">
              <w:t>Look back Period:</w:t>
            </w:r>
          </w:p>
        </w:tc>
        <w:tc>
          <w:tcPr>
            <w:tcW w:w="7375" w:type="dxa"/>
          </w:tcPr>
          <w:p w14:paraId="31060CDE"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7F9A7BCC"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7B70FB6" w14:textId="17836EF6" w:rsidR="001B51A9" w:rsidRPr="00917CBF" w:rsidRDefault="001B51A9" w:rsidP="00FB7513">
            <w:r>
              <w:t>Identification of High Risk Population for follow-up in 5-7 months:</w:t>
            </w:r>
          </w:p>
        </w:tc>
        <w:tc>
          <w:tcPr>
            <w:tcW w:w="7375" w:type="dxa"/>
          </w:tcPr>
          <w:p w14:paraId="04E27B22" w14:textId="5EE5232D"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t xml:space="preserve">Patients with a CAGE-AID score &gt;=1 </w:t>
            </w:r>
          </w:p>
        </w:tc>
      </w:tr>
      <w:tr w:rsidR="001B51A9" w:rsidRPr="00917CBF" w14:paraId="5BC6343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48C4701" w14:textId="77777777" w:rsidR="001B51A9" w:rsidRPr="00917CBF" w:rsidRDefault="001B51A9" w:rsidP="00FB7513">
            <w:r>
              <w:t>Source:</w:t>
            </w:r>
          </w:p>
        </w:tc>
        <w:tc>
          <w:tcPr>
            <w:tcW w:w="7375" w:type="dxa"/>
          </w:tcPr>
          <w:p w14:paraId="748CE1F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6B0F7D13" w14:textId="77777777" w:rsidR="001B51A9" w:rsidRDefault="001B51A9"/>
    <w:sectPr w:rsidR="001B5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20611" w14:textId="77777777" w:rsidR="001B51A9" w:rsidRDefault="001B51A9" w:rsidP="001B51A9">
      <w:pPr>
        <w:spacing w:after="0" w:line="240" w:lineRule="auto"/>
      </w:pPr>
      <w:r>
        <w:separator/>
      </w:r>
    </w:p>
  </w:endnote>
  <w:endnote w:type="continuationSeparator" w:id="0">
    <w:p w14:paraId="276AAF7F" w14:textId="77777777" w:rsidR="001B51A9" w:rsidRDefault="001B51A9" w:rsidP="001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7A41" w14:textId="77777777" w:rsidR="001B51A9" w:rsidRDefault="001B51A9" w:rsidP="001B51A9">
      <w:pPr>
        <w:spacing w:after="0" w:line="240" w:lineRule="auto"/>
      </w:pPr>
      <w:r>
        <w:separator/>
      </w:r>
    </w:p>
  </w:footnote>
  <w:footnote w:type="continuationSeparator" w:id="0">
    <w:p w14:paraId="29040B33" w14:textId="77777777" w:rsidR="001B51A9" w:rsidRDefault="001B51A9" w:rsidP="001B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9E91" w14:textId="0A1784F9" w:rsidR="001B51A9" w:rsidRDefault="001B51A9">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D39"/>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758"/>
    <w:multiLevelType w:val="hybridMultilevel"/>
    <w:tmpl w:val="BB20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009"/>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F7A"/>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86620"/>
    <w:multiLevelType w:val="hybridMultilevel"/>
    <w:tmpl w:val="512A1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CE722D"/>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2FA5"/>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7D1D"/>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AAE"/>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0"/>
    <w:rsid w:val="000F79D9"/>
    <w:rsid w:val="001B51A9"/>
    <w:rsid w:val="0050544E"/>
    <w:rsid w:val="00820E76"/>
    <w:rsid w:val="008A0893"/>
    <w:rsid w:val="009020C8"/>
    <w:rsid w:val="00B75965"/>
    <w:rsid w:val="00CC3360"/>
    <w:rsid w:val="00D6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B93A"/>
  <w15:chartTrackingRefBased/>
  <w15:docId w15:val="{416D9B3C-A270-40B5-8AD5-91A9542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C33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63F9F"/>
    <w:pPr>
      <w:ind w:left="720"/>
      <w:contextualSpacing/>
    </w:pPr>
  </w:style>
  <w:style w:type="character" w:styleId="CommentReference">
    <w:name w:val="annotation reference"/>
    <w:basedOn w:val="DefaultParagraphFont"/>
    <w:uiPriority w:val="99"/>
    <w:semiHidden/>
    <w:unhideWhenUsed/>
    <w:rsid w:val="00D63F9F"/>
    <w:rPr>
      <w:sz w:val="16"/>
      <w:szCs w:val="16"/>
    </w:rPr>
  </w:style>
  <w:style w:type="paragraph" w:styleId="CommentText">
    <w:name w:val="annotation text"/>
    <w:basedOn w:val="Normal"/>
    <w:link w:val="CommentTextChar"/>
    <w:uiPriority w:val="99"/>
    <w:semiHidden/>
    <w:unhideWhenUsed/>
    <w:rsid w:val="00D63F9F"/>
    <w:pPr>
      <w:spacing w:line="240" w:lineRule="auto"/>
    </w:pPr>
    <w:rPr>
      <w:sz w:val="20"/>
      <w:szCs w:val="20"/>
    </w:rPr>
  </w:style>
  <w:style w:type="character" w:customStyle="1" w:styleId="CommentTextChar">
    <w:name w:val="Comment Text Char"/>
    <w:basedOn w:val="DefaultParagraphFont"/>
    <w:link w:val="CommentText"/>
    <w:uiPriority w:val="99"/>
    <w:semiHidden/>
    <w:rsid w:val="00D63F9F"/>
    <w:rPr>
      <w:sz w:val="20"/>
      <w:szCs w:val="20"/>
    </w:rPr>
  </w:style>
  <w:style w:type="paragraph" w:styleId="CommentSubject">
    <w:name w:val="annotation subject"/>
    <w:basedOn w:val="CommentText"/>
    <w:next w:val="CommentText"/>
    <w:link w:val="CommentSubjectChar"/>
    <w:uiPriority w:val="99"/>
    <w:semiHidden/>
    <w:unhideWhenUsed/>
    <w:rsid w:val="00D63F9F"/>
    <w:rPr>
      <w:b/>
      <w:bCs/>
    </w:rPr>
  </w:style>
  <w:style w:type="character" w:customStyle="1" w:styleId="CommentSubjectChar">
    <w:name w:val="Comment Subject Char"/>
    <w:basedOn w:val="CommentTextChar"/>
    <w:link w:val="CommentSubject"/>
    <w:uiPriority w:val="99"/>
    <w:semiHidden/>
    <w:rsid w:val="00D63F9F"/>
    <w:rPr>
      <w:b/>
      <w:bCs/>
      <w:sz w:val="20"/>
      <w:szCs w:val="20"/>
    </w:rPr>
  </w:style>
  <w:style w:type="paragraph" w:styleId="BalloonText">
    <w:name w:val="Balloon Text"/>
    <w:basedOn w:val="Normal"/>
    <w:link w:val="BalloonTextChar"/>
    <w:uiPriority w:val="99"/>
    <w:semiHidden/>
    <w:unhideWhenUsed/>
    <w:rsid w:val="00D6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9F"/>
    <w:rPr>
      <w:rFonts w:ascii="Segoe UI" w:hAnsi="Segoe UI" w:cs="Segoe UI"/>
      <w:sz w:val="18"/>
      <w:szCs w:val="18"/>
    </w:rPr>
  </w:style>
  <w:style w:type="paragraph" w:styleId="Header">
    <w:name w:val="header"/>
    <w:basedOn w:val="Normal"/>
    <w:link w:val="HeaderChar"/>
    <w:uiPriority w:val="99"/>
    <w:unhideWhenUsed/>
    <w:rsid w:val="001B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A9"/>
  </w:style>
  <w:style w:type="paragraph" w:styleId="Footer">
    <w:name w:val="footer"/>
    <w:basedOn w:val="Normal"/>
    <w:link w:val="FooterChar"/>
    <w:uiPriority w:val="99"/>
    <w:unhideWhenUsed/>
    <w:rsid w:val="001B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A9"/>
  </w:style>
  <w:style w:type="table" w:customStyle="1" w:styleId="GridTable4-Accent31">
    <w:name w:val="Grid Table 4 - Accent 31"/>
    <w:basedOn w:val="TableNormal"/>
    <w:next w:val="GridTable4-Accent3"/>
    <w:uiPriority w:val="49"/>
    <w:rsid w:val="001B51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Galgay</dc:creator>
  <cp:keywords/>
  <dc:description/>
  <cp:lastModifiedBy>Andrea Galgay</cp:lastModifiedBy>
  <cp:revision>3</cp:revision>
  <dcterms:created xsi:type="dcterms:W3CDTF">2016-06-24T18:37:00Z</dcterms:created>
  <dcterms:modified xsi:type="dcterms:W3CDTF">2016-06-24T19:04:00Z</dcterms:modified>
</cp:coreProperties>
</file>