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00" w:type="dxa"/>
        <w:jc w:val="center"/>
        <w:tblCellSpacing w:w="0" w:type="dxa"/>
        <w:tblCellMar>
          <w:left w:w="0" w:type="dxa"/>
          <w:right w:w="0" w:type="dxa"/>
        </w:tblCellMar>
        <w:tblLook w:val="04A0" w:firstRow="1" w:lastRow="0" w:firstColumn="1" w:lastColumn="0" w:noHBand="0" w:noVBand="1"/>
      </w:tblPr>
      <w:tblGrid>
        <w:gridCol w:w="3300"/>
      </w:tblGrid>
      <w:tr w:rsidR="003032C6" w:rsidRPr="003032C6" w:rsidTr="003032C6">
        <w:trPr>
          <w:trHeight w:val="645"/>
          <w:tblCellSpacing w:w="0" w:type="dxa"/>
          <w:jc w:val="center"/>
        </w:trPr>
        <w:tc>
          <w:tcPr>
            <w:tcW w:w="0" w:type="auto"/>
            <w:tcBorders>
              <w:bottom w:val="single" w:sz="6" w:space="0" w:color="E0E0E0"/>
            </w:tcBorders>
            <w:vAlign w:val="center"/>
            <w:hideMark/>
          </w:tcPr>
          <w:p w:rsidR="003032C6" w:rsidRPr="003032C6" w:rsidRDefault="003032C6" w:rsidP="003032C6">
            <w:pPr>
              <w:spacing w:after="0" w:line="270" w:lineRule="atLeast"/>
              <w:rPr>
                <w:rFonts w:ascii="Arial" w:eastAsia="Times New Roman" w:hAnsi="Arial" w:cs="Arial"/>
                <w:color w:val="2B2C30"/>
                <w:sz w:val="18"/>
                <w:szCs w:val="18"/>
              </w:rPr>
            </w:pPr>
          </w:p>
        </w:tc>
      </w:tr>
    </w:tbl>
    <w:bookmarkStart w:id="0" w:name="11442"/>
    <w:bookmarkEnd w:id="0"/>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ole="">
            <v:imagedata r:id="rId6" o:title=""/>
          </v:shape>
          <w:control r:id="rId7" w:name="DefaultOcxName" w:shapeid="_x0000_i1027"/>
        </w:object>
      </w:r>
      <w:r w:rsidRPr="003032C6">
        <w:rPr>
          <w:rFonts w:ascii="Arial" w:eastAsia="Times New Roman" w:hAnsi="Arial" w:cs="Arial"/>
          <w:color w:val="333333"/>
          <w:sz w:val="18"/>
          <w:szCs w:val="18"/>
        </w:rPr>
        <w:t xml:space="preserve">   </w:t>
      </w:r>
    </w:p>
    <w:p w:rsidR="003032C6" w:rsidRPr="003032C6" w:rsidRDefault="003032C6" w:rsidP="003032C6">
      <w:pPr>
        <w:spacing w:after="180" w:line="420" w:lineRule="atLeast"/>
        <w:jc w:val="center"/>
        <w:textAlignment w:val="top"/>
        <w:outlineLvl w:val="0"/>
        <w:rPr>
          <w:rFonts w:ascii="Arial" w:eastAsia="Times New Roman" w:hAnsi="Arial" w:cs="Arial"/>
          <w:b/>
          <w:bCs/>
          <w:color w:val="265972"/>
          <w:kern w:val="36"/>
          <w:sz w:val="36"/>
          <w:szCs w:val="36"/>
        </w:rPr>
      </w:pPr>
      <w:r w:rsidRPr="003032C6">
        <w:rPr>
          <w:rFonts w:ascii="Arial" w:eastAsia="Times New Roman" w:hAnsi="Arial" w:cs="Arial"/>
          <w:b/>
          <w:bCs/>
          <w:color w:val="265972"/>
          <w:kern w:val="36"/>
          <w:sz w:val="36"/>
          <w:szCs w:val="36"/>
        </w:rPr>
        <w:t>Recognition Redesign: Information for Practices Currently Recognized Under PCMH 2014 Standards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b/>
          <w:bCs/>
          <w:color w:val="444444"/>
          <w:sz w:val="18"/>
          <w:szCs w:val="18"/>
        </w:rPr>
        <w:t>Our practice has a current NCQA Recognition. What happens when the redesigned program is launched?</w:t>
      </w:r>
      <w:r w:rsidRPr="003032C6">
        <w:rPr>
          <w:rFonts w:ascii="Arial" w:eastAsia="Times New Roman" w:hAnsi="Arial" w:cs="Arial"/>
          <w:color w:val="444444"/>
          <w:sz w:val="18"/>
          <w:szCs w:val="18"/>
        </w:rPr>
        <w:t xml:space="preserve"> Practices that achieved Level 3 recognition under PCMH 2014 standards, having already demonstrated significant prior transformation, move directly to “Sustain” when current recognition expires. Practices that achieved Level 1 or Level 2 recognition under 2014 standards earn credit toward Recognition – streamlining the evaluation under PCMH 2017.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We encourage practices to transition to the new model, but practices may renew their current recognition under 2014 standards instead of transitioning to the new model. The renewal deadline is September 30, 2017. Other important dates: </w:t>
      </w:r>
    </w:p>
    <w:tbl>
      <w:tblPr>
        <w:tblpPr w:leftFromText="45" w:rightFromText="45" w:vertAnchor="text"/>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634"/>
        <w:gridCol w:w="2844"/>
      </w:tblGrid>
      <w:tr w:rsidR="003032C6" w:rsidRPr="003032C6" w:rsidTr="003032C6">
        <w:trPr>
          <w:tblCellSpacing w:w="7" w:type="dxa"/>
        </w:trPr>
        <w:tc>
          <w:tcPr>
            <w:tcW w:w="0" w:type="auto"/>
            <w:shd w:val="clear" w:color="auto" w:fill="FFFFFF"/>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Last day to purchase PCMH 2014 survey licenses  </w:t>
            </w:r>
          </w:p>
        </w:tc>
        <w:tc>
          <w:tcPr>
            <w:tcW w:w="0" w:type="auto"/>
            <w:shd w:val="clear" w:color="auto" w:fill="DBEEF3"/>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March 31, 2017  </w:t>
            </w:r>
          </w:p>
        </w:tc>
      </w:tr>
      <w:tr w:rsidR="003032C6" w:rsidRPr="003032C6" w:rsidTr="003032C6">
        <w:trPr>
          <w:tblCellSpacing w:w="7" w:type="dxa"/>
        </w:trPr>
        <w:tc>
          <w:tcPr>
            <w:tcW w:w="0" w:type="auto"/>
            <w:shd w:val="clear" w:color="auto" w:fill="FFFFFF"/>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 Last day to submit PCMH 2014 Corporate Survey  </w:t>
            </w:r>
          </w:p>
        </w:tc>
        <w:tc>
          <w:tcPr>
            <w:tcW w:w="0" w:type="auto"/>
            <w:shd w:val="clear" w:color="auto" w:fill="DBEEF3"/>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May 31, 2017 </w:t>
            </w:r>
          </w:p>
        </w:tc>
      </w:tr>
      <w:tr w:rsidR="003032C6" w:rsidRPr="003032C6" w:rsidTr="003032C6">
        <w:trPr>
          <w:tblCellSpacing w:w="7" w:type="dxa"/>
        </w:trPr>
        <w:tc>
          <w:tcPr>
            <w:tcW w:w="0" w:type="auto"/>
            <w:shd w:val="clear" w:color="auto" w:fill="FFFFFF"/>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 Last day to request PCMH 2014 Add-On Surveys  </w:t>
            </w:r>
          </w:p>
        </w:tc>
        <w:tc>
          <w:tcPr>
            <w:tcW w:w="0" w:type="auto"/>
            <w:shd w:val="clear" w:color="auto" w:fill="DBEEF3"/>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June 30, 2017 </w:t>
            </w:r>
          </w:p>
        </w:tc>
      </w:tr>
      <w:tr w:rsidR="003032C6" w:rsidRPr="003032C6" w:rsidTr="003032C6">
        <w:trPr>
          <w:tblCellSpacing w:w="7" w:type="dxa"/>
        </w:trPr>
        <w:tc>
          <w:tcPr>
            <w:tcW w:w="0" w:type="auto"/>
            <w:shd w:val="clear" w:color="auto" w:fill="FFFFFF"/>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 Last day to submit all PCMH 2014 Site Surveys  </w:t>
            </w:r>
          </w:p>
        </w:tc>
        <w:tc>
          <w:tcPr>
            <w:tcW w:w="0" w:type="auto"/>
            <w:shd w:val="clear" w:color="auto" w:fill="DBEEF3"/>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September 30, 2017 </w:t>
            </w:r>
          </w:p>
        </w:tc>
      </w:tr>
      <w:tr w:rsidR="003032C6" w:rsidRPr="003032C6" w:rsidTr="003032C6">
        <w:trPr>
          <w:tblCellSpacing w:w="7" w:type="dxa"/>
        </w:trPr>
        <w:tc>
          <w:tcPr>
            <w:tcW w:w="0" w:type="auto"/>
            <w:shd w:val="clear" w:color="auto" w:fill="FFFFFF"/>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 First annual report day for PCMH 2014 Level 3 on PCMH 2017 standards, no sooner than </w:t>
            </w:r>
          </w:p>
        </w:tc>
        <w:tc>
          <w:tcPr>
            <w:tcW w:w="0" w:type="auto"/>
            <w:shd w:val="clear" w:color="auto" w:fill="DBEEF3"/>
            <w:vAlign w:val="center"/>
            <w:hideMark/>
          </w:tcPr>
          <w:p w:rsidR="003032C6" w:rsidRPr="003032C6" w:rsidRDefault="003032C6" w:rsidP="003032C6">
            <w:pPr>
              <w:spacing w:after="0" w:line="270" w:lineRule="atLeast"/>
              <w:jc w:val="center"/>
              <w:rPr>
                <w:rFonts w:ascii="Arial" w:eastAsia="Times New Roman" w:hAnsi="Arial" w:cs="Arial"/>
                <w:color w:val="333333"/>
                <w:sz w:val="18"/>
                <w:szCs w:val="18"/>
              </w:rPr>
            </w:pPr>
            <w:r w:rsidRPr="003032C6">
              <w:rPr>
                <w:rFonts w:ascii="Arial" w:eastAsia="Times New Roman" w:hAnsi="Arial" w:cs="Arial"/>
                <w:color w:val="333333"/>
                <w:sz w:val="18"/>
                <w:szCs w:val="18"/>
              </w:rPr>
              <w:t xml:space="preserve">April 1, 2018, or recognition end date </w:t>
            </w:r>
          </w:p>
        </w:tc>
      </w:tr>
    </w:tbl>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  </w:t>
      </w:r>
    </w:p>
    <w:p w:rsidR="003032C6" w:rsidRPr="003032C6" w:rsidRDefault="003032C6" w:rsidP="003032C6">
      <w:pPr>
        <w:pBdr>
          <w:bottom w:val="single" w:sz="18" w:space="3" w:color="BBD2E4"/>
        </w:pBdr>
        <w:spacing w:after="150" w:line="285" w:lineRule="atLeast"/>
        <w:jc w:val="center"/>
        <w:textAlignment w:val="top"/>
        <w:outlineLvl w:val="2"/>
        <w:rPr>
          <w:rFonts w:ascii="Arial" w:eastAsia="Times New Roman" w:hAnsi="Arial" w:cs="Arial"/>
          <w:b/>
          <w:bCs/>
          <w:color w:val="265972"/>
          <w:sz w:val="24"/>
          <w:szCs w:val="24"/>
        </w:rPr>
      </w:pPr>
      <w:r w:rsidRPr="003032C6">
        <w:rPr>
          <w:rFonts w:ascii="Arial" w:eastAsia="Times New Roman" w:hAnsi="Arial" w:cs="Arial"/>
          <w:b/>
          <w:bCs/>
          <w:color w:val="265972"/>
          <w:sz w:val="24"/>
          <w:szCs w:val="24"/>
        </w:rPr>
        <w:br/>
        <w:t>What about practices with PCMH 2014 Level 1 or Level 2 recognition?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 There are three options:   </w:t>
      </w:r>
    </w:p>
    <w:p w:rsidR="003032C6" w:rsidRPr="003032C6" w:rsidRDefault="003032C6" w:rsidP="003032C6">
      <w:pPr>
        <w:numPr>
          <w:ilvl w:val="0"/>
          <w:numId w:val="1"/>
        </w:numPr>
        <w:spacing w:before="100" w:beforeAutospacing="1" w:after="135" w:line="324" w:lineRule="atLeast"/>
        <w:ind w:left="480"/>
        <w:textAlignment w:val="top"/>
        <w:rPr>
          <w:rFonts w:ascii="Arial" w:eastAsia="Times New Roman" w:hAnsi="Arial" w:cs="Arial"/>
          <w:color w:val="444444"/>
          <w:sz w:val="18"/>
          <w:szCs w:val="18"/>
        </w:rPr>
      </w:pPr>
      <w:r w:rsidRPr="003032C6">
        <w:rPr>
          <w:rFonts w:ascii="Arial" w:eastAsia="Times New Roman" w:hAnsi="Arial" w:cs="Arial"/>
          <w:b/>
          <w:bCs/>
          <w:color w:val="444444"/>
          <w:sz w:val="18"/>
          <w:szCs w:val="18"/>
        </w:rPr>
        <w:t>Add-On Survey:</w:t>
      </w:r>
      <w:r w:rsidRPr="003032C6">
        <w:rPr>
          <w:rFonts w:ascii="Arial" w:eastAsia="Times New Roman" w:hAnsi="Arial" w:cs="Arial"/>
          <w:color w:val="444444"/>
          <w:sz w:val="18"/>
          <w:szCs w:val="18"/>
        </w:rPr>
        <w:t xml:space="preserve"> Submit an Add-On Survey to earn PCMH 2014 Level 3 recognition before your current recognition expires and transition to the new sustaining model when recognition expires. </w:t>
      </w:r>
    </w:p>
    <w:p w:rsidR="003032C6" w:rsidRPr="003032C6" w:rsidRDefault="003032C6" w:rsidP="003032C6">
      <w:pPr>
        <w:numPr>
          <w:ilvl w:val="0"/>
          <w:numId w:val="1"/>
        </w:numPr>
        <w:spacing w:before="100" w:beforeAutospacing="1" w:after="135" w:line="324" w:lineRule="atLeast"/>
        <w:ind w:left="480"/>
        <w:textAlignment w:val="top"/>
        <w:rPr>
          <w:rFonts w:ascii="Arial" w:eastAsia="Times New Roman" w:hAnsi="Arial" w:cs="Arial"/>
          <w:color w:val="444444"/>
          <w:sz w:val="18"/>
          <w:szCs w:val="18"/>
        </w:rPr>
      </w:pPr>
      <w:r w:rsidRPr="003032C6">
        <w:rPr>
          <w:rFonts w:ascii="Arial" w:eastAsia="Times New Roman" w:hAnsi="Arial" w:cs="Arial"/>
          <w:b/>
          <w:bCs/>
          <w:color w:val="444444"/>
          <w:sz w:val="18"/>
          <w:szCs w:val="18"/>
        </w:rPr>
        <w:t>"Transform" through the redesigned program:</w:t>
      </w:r>
      <w:r w:rsidRPr="003032C6">
        <w:rPr>
          <w:rFonts w:ascii="Arial" w:eastAsia="Times New Roman" w:hAnsi="Arial" w:cs="Arial"/>
          <w:color w:val="444444"/>
          <w:sz w:val="18"/>
          <w:szCs w:val="18"/>
        </w:rPr>
        <w:t xml:space="preserve"> Enroll in the new PCMH recognition program under 2017 PCMH standards, beginning April 1, 2017.” Previously earned PCMH 2014 credit will be applied to aspects of 2017 standards. </w:t>
      </w:r>
      <w:r w:rsidRPr="003032C6">
        <w:rPr>
          <w:rFonts w:ascii="Arial" w:eastAsia="Times New Roman" w:hAnsi="Arial" w:cs="Arial"/>
          <w:color w:val="444444"/>
          <w:sz w:val="18"/>
          <w:szCs w:val="18"/>
        </w:rPr>
        <w:br/>
      </w:r>
      <w:r w:rsidRPr="003032C6">
        <w:rPr>
          <w:rFonts w:ascii="Arial" w:eastAsia="Times New Roman" w:hAnsi="Arial" w:cs="Arial"/>
          <w:b/>
          <w:bCs/>
          <w:i/>
          <w:iCs/>
          <w:color w:val="444444"/>
          <w:sz w:val="18"/>
          <w:szCs w:val="18"/>
        </w:rPr>
        <w:t>Note:</w:t>
      </w:r>
      <w:r w:rsidRPr="003032C6">
        <w:rPr>
          <w:rFonts w:ascii="Arial" w:eastAsia="Times New Roman" w:hAnsi="Arial" w:cs="Arial"/>
          <w:i/>
          <w:iCs/>
          <w:color w:val="444444"/>
          <w:sz w:val="18"/>
          <w:szCs w:val="18"/>
        </w:rPr>
        <w:t xml:space="preserve"> Because transformation can take several months, this must occur six months prior to the recognition expiration date. </w:t>
      </w:r>
    </w:p>
    <w:p w:rsidR="003032C6" w:rsidRPr="003032C6" w:rsidRDefault="003032C6" w:rsidP="003032C6">
      <w:pPr>
        <w:numPr>
          <w:ilvl w:val="0"/>
          <w:numId w:val="1"/>
        </w:numPr>
        <w:spacing w:before="100" w:beforeAutospacing="1" w:after="135" w:line="324" w:lineRule="atLeast"/>
        <w:ind w:left="480"/>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Renewal: Renew PCMH 2014 recognition for the established three-year period and move to the new program at the end of that period. You will need to achieve Level 3 to move to “Sustain” when your recognition expires. </w:t>
      </w:r>
      <w:r w:rsidRPr="003032C6">
        <w:rPr>
          <w:rFonts w:ascii="Arial" w:eastAsia="Times New Roman" w:hAnsi="Arial" w:cs="Arial"/>
          <w:color w:val="444444"/>
          <w:sz w:val="18"/>
          <w:szCs w:val="18"/>
        </w:rPr>
        <w:br/>
      </w:r>
      <w:r w:rsidRPr="003032C6">
        <w:rPr>
          <w:rFonts w:ascii="Arial" w:eastAsia="Times New Roman" w:hAnsi="Arial" w:cs="Arial"/>
          <w:b/>
          <w:bCs/>
          <w:i/>
          <w:iCs/>
          <w:color w:val="444444"/>
          <w:sz w:val="18"/>
          <w:szCs w:val="18"/>
        </w:rPr>
        <w:t xml:space="preserve">Note: </w:t>
      </w:r>
      <w:r w:rsidRPr="003032C6">
        <w:rPr>
          <w:rFonts w:ascii="Arial" w:eastAsia="Times New Roman" w:hAnsi="Arial" w:cs="Arial"/>
          <w:i/>
          <w:iCs/>
          <w:color w:val="444444"/>
          <w:sz w:val="18"/>
          <w:szCs w:val="18"/>
        </w:rPr>
        <w:t>The survey tool must be purchased by March 31, 2017, and the completed site survey must be submitted by September 30, 2017 (corporate survey tools must be submitted by May 31, 2017). </w:t>
      </w:r>
    </w:p>
    <w:p w:rsidR="003032C6" w:rsidRPr="003032C6" w:rsidRDefault="003032C6" w:rsidP="003032C6">
      <w:pPr>
        <w:pBdr>
          <w:bottom w:val="single" w:sz="18" w:space="3" w:color="BBD2E4"/>
        </w:pBdr>
        <w:spacing w:after="150" w:line="285" w:lineRule="atLeast"/>
        <w:jc w:val="center"/>
        <w:textAlignment w:val="top"/>
        <w:outlineLvl w:val="2"/>
        <w:rPr>
          <w:rFonts w:ascii="Arial" w:eastAsia="Times New Roman" w:hAnsi="Arial" w:cs="Arial"/>
          <w:b/>
          <w:bCs/>
          <w:color w:val="265972"/>
          <w:sz w:val="24"/>
          <w:szCs w:val="24"/>
        </w:rPr>
      </w:pPr>
      <w:r w:rsidRPr="003032C6">
        <w:rPr>
          <w:rFonts w:ascii="Arial" w:eastAsia="Times New Roman" w:hAnsi="Arial" w:cs="Arial"/>
          <w:b/>
          <w:bCs/>
          <w:color w:val="265972"/>
          <w:sz w:val="24"/>
          <w:szCs w:val="24"/>
        </w:rPr>
        <w:lastRenderedPageBreak/>
        <w:br/>
        <w:t xml:space="preserve">What about practices with PCMH 2014 Level </w:t>
      </w:r>
      <w:proofErr w:type="gramStart"/>
      <w:r w:rsidRPr="003032C6">
        <w:rPr>
          <w:rFonts w:ascii="Arial" w:eastAsia="Times New Roman" w:hAnsi="Arial" w:cs="Arial"/>
          <w:b/>
          <w:bCs/>
          <w:color w:val="265972"/>
          <w:sz w:val="24"/>
          <w:szCs w:val="24"/>
        </w:rPr>
        <w:t>3 recognition</w:t>
      </w:r>
      <w:proofErr w:type="gramEnd"/>
      <w:r w:rsidRPr="003032C6">
        <w:rPr>
          <w:rFonts w:ascii="Arial" w:eastAsia="Times New Roman" w:hAnsi="Arial" w:cs="Arial"/>
          <w:b/>
          <w:bCs/>
          <w:color w:val="265972"/>
          <w:sz w:val="24"/>
          <w:szCs w:val="24"/>
        </w:rPr>
        <w:t>?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There are two options:  </w:t>
      </w:r>
    </w:p>
    <w:p w:rsidR="003032C6" w:rsidRPr="003032C6" w:rsidRDefault="003032C6" w:rsidP="003032C6">
      <w:pPr>
        <w:numPr>
          <w:ilvl w:val="0"/>
          <w:numId w:val="2"/>
        </w:numPr>
        <w:spacing w:before="100" w:beforeAutospacing="1" w:after="135" w:line="324" w:lineRule="atLeast"/>
        <w:ind w:left="480"/>
        <w:textAlignment w:val="top"/>
        <w:rPr>
          <w:rFonts w:ascii="Arial" w:eastAsia="Times New Roman" w:hAnsi="Arial" w:cs="Arial"/>
          <w:color w:val="444444"/>
          <w:sz w:val="18"/>
          <w:szCs w:val="18"/>
        </w:rPr>
      </w:pPr>
      <w:r w:rsidRPr="003032C6">
        <w:rPr>
          <w:rFonts w:ascii="Arial" w:eastAsia="Times New Roman" w:hAnsi="Arial" w:cs="Arial"/>
          <w:b/>
          <w:bCs/>
          <w:color w:val="444444"/>
          <w:sz w:val="18"/>
          <w:szCs w:val="18"/>
        </w:rPr>
        <w:t>“Sustain” through the redesigned program:</w:t>
      </w:r>
      <w:r w:rsidRPr="003032C6">
        <w:rPr>
          <w:rFonts w:ascii="Arial" w:eastAsia="Times New Roman" w:hAnsi="Arial" w:cs="Arial"/>
          <w:color w:val="444444"/>
          <w:sz w:val="18"/>
          <w:szCs w:val="18"/>
        </w:rPr>
        <w:t xml:space="preserve"> Because these practices have demonstrated significant prior transformation, they move directly to “Sustain”, with annual check-ins.  </w:t>
      </w:r>
    </w:p>
    <w:p w:rsidR="003032C6" w:rsidRPr="003032C6" w:rsidRDefault="003032C6" w:rsidP="003032C6">
      <w:pPr>
        <w:numPr>
          <w:ilvl w:val="0"/>
          <w:numId w:val="2"/>
        </w:numPr>
        <w:spacing w:before="100" w:beforeAutospacing="1" w:after="135" w:line="324" w:lineRule="atLeast"/>
        <w:ind w:left="480"/>
        <w:textAlignment w:val="top"/>
        <w:rPr>
          <w:rFonts w:ascii="Arial" w:eastAsia="Times New Roman" w:hAnsi="Arial" w:cs="Arial"/>
          <w:color w:val="444444"/>
          <w:sz w:val="18"/>
          <w:szCs w:val="18"/>
        </w:rPr>
      </w:pPr>
      <w:r w:rsidRPr="003032C6">
        <w:rPr>
          <w:rFonts w:ascii="Arial" w:eastAsia="Times New Roman" w:hAnsi="Arial" w:cs="Arial"/>
          <w:b/>
          <w:bCs/>
          <w:color w:val="444444"/>
          <w:sz w:val="18"/>
          <w:szCs w:val="18"/>
        </w:rPr>
        <w:t xml:space="preserve">Renewal: </w:t>
      </w:r>
      <w:r w:rsidRPr="003032C6">
        <w:rPr>
          <w:rFonts w:ascii="Arial" w:eastAsia="Times New Roman" w:hAnsi="Arial" w:cs="Arial"/>
          <w:color w:val="444444"/>
          <w:sz w:val="18"/>
          <w:szCs w:val="18"/>
        </w:rPr>
        <w:t xml:space="preserve">Renew PCMH 2014 recognition for the established three-year period and move to sustained recognition at the end of that period. </w:t>
      </w:r>
      <w:r w:rsidRPr="003032C6">
        <w:rPr>
          <w:rFonts w:ascii="Arial" w:eastAsia="Times New Roman" w:hAnsi="Arial" w:cs="Arial"/>
          <w:color w:val="444444"/>
          <w:sz w:val="18"/>
          <w:szCs w:val="18"/>
        </w:rPr>
        <w:br/>
      </w:r>
      <w:r w:rsidRPr="003032C6">
        <w:rPr>
          <w:rFonts w:ascii="Arial" w:eastAsia="Times New Roman" w:hAnsi="Arial" w:cs="Arial"/>
          <w:b/>
          <w:bCs/>
          <w:i/>
          <w:iCs/>
          <w:color w:val="444444"/>
          <w:sz w:val="18"/>
          <w:szCs w:val="18"/>
        </w:rPr>
        <w:t>Note:</w:t>
      </w:r>
      <w:r w:rsidRPr="003032C6">
        <w:rPr>
          <w:rFonts w:ascii="Arial" w:eastAsia="Times New Roman" w:hAnsi="Arial" w:cs="Arial"/>
          <w:i/>
          <w:iCs/>
          <w:color w:val="444444"/>
          <w:sz w:val="18"/>
          <w:szCs w:val="18"/>
        </w:rPr>
        <w:t xml:space="preserve"> The survey tool must be purchased by March 31, 2017, and the completed survey must be submitted by September 30, 2017(corporate survey tools must be submitted by May 31, 2017). </w:t>
      </w:r>
    </w:p>
    <w:p w:rsidR="003032C6" w:rsidRPr="003032C6" w:rsidRDefault="003032C6" w:rsidP="003032C6">
      <w:pPr>
        <w:pBdr>
          <w:bottom w:val="single" w:sz="18" w:space="3" w:color="BBD2E4"/>
        </w:pBdr>
        <w:spacing w:after="150" w:line="285" w:lineRule="atLeast"/>
        <w:jc w:val="center"/>
        <w:textAlignment w:val="top"/>
        <w:outlineLvl w:val="2"/>
        <w:rPr>
          <w:rFonts w:ascii="Arial" w:eastAsia="Times New Roman" w:hAnsi="Arial" w:cs="Arial"/>
          <w:b/>
          <w:bCs/>
          <w:color w:val="265972"/>
          <w:sz w:val="24"/>
          <w:szCs w:val="24"/>
        </w:rPr>
      </w:pPr>
      <w:r w:rsidRPr="003032C6">
        <w:rPr>
          <w:rFonts w:ascii="Arial" w:eastAsia="Times New Roman" w:hAnsi="Arial" w:cs="Arial"/>
          <w:b/>
          <w:bCs/>
          <w:color w:val="265972"/>
          <w:sz w:val="24"/>
          <w:szCs w:val="24"/>
        </w:rPr>
        <w:br/>
        <w:t>We have more questions. How can I get answers?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NCQA </w:t>
      </w:r>
      <w:proofErr w:type="gramStart"/>
      <w:r w:rsidRPr="003032C6">
        <w:rPr>
          <w:rFonts w:ascii="Arial" w:eastAsia="Times New Roman" w:hAnsi="Arial" w:cs="Arial"/>
          <w:color w:val="444444"/>
          <w:sz w:val="18"/>
          <w:szCs w:val="18"/>
        </w:rPr>
        <w:t>staff are</w:t>
      </w:r>
      <w:proofErr w:type="gramEnd"/>
      <w:r w:rsidRPr="003032C6">
        <w:rPr>
          <w:rFonts w:ascii="Arial" w:eastAsia="Times New Roman" w:hAnsi="Arial" w:cs="Arial"/>
          <w:color w:val="444444"/>
          <w:sz w:val="18"/>
          <w:szCs w:val="18"/>
        </w:rPr>
        <w:t xml:space="preserve"> available to help you. Submit questions in the </w:t>
      </w:r>
      <w:hyperlink r:id="rId8" w:history="1">
        <w:r w:rsidRPr="003032C6">
          <w:rPr>
            <w:rFonts w:ascii="Arial" w:eastAsia="Times New Roman" w:hAnsi="Arial" w:cs="Arial"/>
            <w:color w:val="2861A3"/>
            <w:sz w:val="18"/>
            <w:szCs w:val="18"/>
          </w:rPr>
          <w:t>My NCQA portal</w:t>
        </w:r>
      </w:hyperlink>
      <w:r w:rsidRPr="003032C6">
        <w:rPr>
          <w:rFonts w:ascii="Arial" w:eastAsia="Times New Roman" w:hAnsi="Arial" w:cs="Arial"/>
          <w:color w:val="444444"/>
          <w:sz w:val="18"/>
          <w:szCs w:val="18"/>
        </w:rPr>
        <w:t xml:space="preserve">; enter “Sustaining PCMH Recognition” in the subject line.   </w:t>
      </w:r>
    </w:p>
    <w:p w:rsidR="003032C6" w:rsidRPr="003032C6" w:rsidRDefault="003032C6" w:rsidP="003032C6">
      <w:pPr>
        <w:spacing w:after="135" w:line="324" w:lineRule="atLeast"/>
        <w:textAlignment w:val="top"/>
        <w:rPr>
          <w:rFonts w:ascii="Arial" w:eastAsia="Times New Roman" w:hAnsi="Arial" w:cs="Arial"/>
          <w:color w:val="444444"/>
          <w:sz w:val="18"/>
          <w:szCs w:val="18"/>
        </w:rPr>
      </w:pPr>
      <w:r w:rsidRPr="003032C6">
        <w:rPr>
          <w:rFonts w:ascii="Arial" w:eastAsia="Times New Roman" w:hAnsi="Arial" w:cs="Arial"/>
          <w:color w:val="444444"/>
          <w:sz w:val="18"/>
          <w:szCs w:val="18"/>
        </w:rPr>
        <w:t xml:space="preserve">NCQA also hosts a monthly live Q&amp;A session: </w:t>
      </w:r>
      <w:hyperlink r:id="rId9" w:history="1">
        <w:r w:rsidRPr="003032C6">
          <w:rPr>
            <w:rFonts w:ascii="Arial" w:eastAsia="Times New Roman" w:hAnsi="Arial" w:cs="Arial"/>
            <w:color w:val="2861A3"/>
            <w:sz w:val="18"/>
            <w:szCs w:val="18"/>
          </w:rPr>
          <w:t>Preparing for Redesign: Renewing and Converting to PCMH 2014</w:t>
        </w:r>
      </w:hyperlink>
      <w:r w:rsidRPr="003032C6">
        <w:rPr>
          <w:rFonts w:ascii="Arial" w:eastAsia="Times New Roman" w:hAnsi="Arial" w:cs="Arial"/>
          <w:color w:val="444444"/>
          <w:sz w:val="18"/>
          <w:szCs w:val="18"/>
        </w:rPr>
        <w:t xml:space="preserve">. See the NCQA Web site for an </w:t>
      </w:r>
      <w:hyperlink r:id="rId10" w:history="1">
        <w:r w:rsidRPr="003032C6">
          <w:rPr>
            <w:rFonts w:ascii="Arial" w:eastAsia="Times New Roman" w:hAnsi="Arial" w:cs="Arial"/>
            <w:color w:val="2861A3"/>
            <w:sz w:val="18"/>
            <w:szCs w:val="18"/>
          </w:rPr>
          <w:t>updated calendar</w:t>
        </w:r>
      </w:hyperlink>
      <w:r w:rsidRPr="003032C6">
        <w:rPr>
          <w:rFonts w:ascii="Arial" w:eastAsia="Times New Roman" w:hAnsi="Arial" w:cs="Arial"/>
          <w:color w:val="444444"/>
          <w:sz w:val="18"/>
          <w:szCs w:val="18"/>
        </w:rPr>
        <w:t xml:space="preserve"> of these and other sessions about NCQA Recognition programs</w:t>
      </w:r>
    </w:p>
    <w:p w:rsidR="00CA2861" w:rsidRDefault="003032C6" w:rsidP="003032C6">
      <w:r w:rsidRPr="003032C6">
        <w:rPr>
          <w:rFonts w:ascii="Arial" w:eastAsia="Times New Roman" w:hAnsi="Arial" w:cs="Arial"/>
          <w:color w:val="333333"/>
          <w:sz w:val="18"/>
          <w:szCs w:val="18"/>
        </w:rPr>
        <w:t>- See more at: http://www.ncqa.org/programs/recognition/practices/patient-centered-medical-home-pcmh/pcmh-redesign/information-for-practices-currently-recognized-under-pcmh-2014-standards#sthash.ncZjNYdg.dpuf</w:t>
      </w:r>
      <w:bookmarkStart w:id="1" w:name="_GoBack"/>
      <w:bookmarkEnd w:id="1"/>
    </w:p>
    <w:sectPr w:rsidR="00CA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AB5"/>
    <w:multiLevelType w:val="multilevel"/>
    <w:tmpl w:val="1D6C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B31E5"/>
    <w:multiLevelType w:val="multilevel"/>
    <w:tmpl w:val="B0AC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C6"/>
    <w:rsid w:val="003032C6"/>
    <w:rsid w:val="00CA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0714">
      <w:bodyDiv w:val="1"/>
      <w:marLeft w:val="0"/>
      <w:marRight w:val="0"/>
      <w:marTop w:val="0"/>
      <w:marBottom w:val="0"/>
      <w:divBdr>
        <w:top w:val="none" w:sz="0" w:space="0" w:color="auto"/>
        <w:left w:val="none" w:sz="0" w:space="0" w:color="auto"/>
        <w:bottom w:val="none" w:sz="0" w:space="0" w:color="auto"/>
        <w:right w:val="none" w:sz="0" w:space="0" w:color="auto"/>
      </w:divBdr>
      <w:divsChild>
        <w:div w:id="2002346581">
          <w:marLeft w:val="0"/>
          <w:marRight w:val="0"/>
          <w:marTop w:val="0"/>
          <w:marBottom w:val="0"/>
          <w:divBdr>
            <w:top w:val="none" w:sz="0" w:space="0" w:color="auto"/>
            <w:left w:val="none" w:sz="0" w:space="0" w:color="auto"/>
            <w:bottom w:val="none" w:sz="0" w:space="0" w:color="auto"/>
            <w:right w:val="none" w:sz="0" w:space="0" w:color="auto"/>
          </w:divBdr>
          <w:divsChild>
            <w:div w:id="1022633865">
              <w:marLeft w:val="135"/>
              <w:marRight w:val="150"/>
              <w:marTop w:val="0"/>
              <w:marBottom w:val="0"/>
              <w:divBdr>
                <w:top w:val="none" w:sz="0" w:space="0" w:color="auto"/>
                <w:left w:val="none" w:sz="0" w:space="0" w:color="auto"/>
                <w:bottom w:val="none" w:sz="0" w:space="0" w:color="auto"/>
                <w:right w:val="none" w:sz="0" w:space="0" w:color="auto"/>
              </w:divBdr>
              <w:divsChild>
                <w:div w:id="1340422026">
                  <w:marLeft w:val="0"/>
                  <w:marRight w:val="0"/>
                  <w:marTop w:val="0"/>
                  <w:marBottom w:val="0"/>
                  <w:divBdr>
                    <w:top w:val="none" w:sz="0" w:space="0" w:color="auto"/>
                    <w:left w:val="none" w:sz="0" w:space="0" w:color="auto"/>
                    <w:bottom w:val="none" w:sz="0" w:space="0" w:color="auto"/>
                    <w:right w:val="none" w:sz="0" w:space="0" w:color="auto"/>
                  </w:divBdr>
                  <w:divsChild>
                    <w:div w:id="1062216708">
                      <w:marLeft w:val="0"/>
                      <w:marRight w:val="0"/>
                      <w:marTop w:val="0"/>
                      <w:marBottom w:val="0"/>
                      <w:divBdr>
                        <w:top w:val="none" w:sz="0" w:space="0" w:color="auto"/>
                        <w:left w:val="none" w:sz="0" w:space="0" w:color="auto"/>
                        <w:bottom w:val="none" w:sz="0" w:space="0" w:color="auto"/>
                        <w:right w:val="none" w:sz="0" w:space="0" w:color="auto"/>
                      </w:divBdr>
                      <w:divsChild>
                        <w:div w:id="1081681721">
                          <w:marLeft w:val="0"/>
                          <w:marRight w:val="0"/>
                          <w:marTop w:val="225"/>
                          <w:marBottom w:val="0"/>
                          <w:divBdr>
                            <w:top w:val="none" w:sz="0" w:space="0" w:color="auto"/>
                            <w:left w:val="none" w:sz="0" w:space="0" w:color="auto"/>
                            <w:bottom w:val="none" w:sz="0" w:space="0" w:color="auto"/>
                            <w:right w:val="none" w:sz="0" w:space="0" w:color="auto"/>
                          </w:divBdr>
                          <w:divsChild>
                            <w:div w:id="181893407">
                              <w:marLeft w:val="0"/>
                              <w:marRight w:val="0"/>
                              <w:marTop w:val="0"/>
                              <w:marBottom w:val="0"/>
                              <w:divBdr>
                                <w:top w:val="none" w:sz="0" w:space="0" w:color="auto"/>
                                <w:left w:val="none" w:sz="0" w:space="0" w:color="auto"/>
                                <w:bottom w:val="none" w:sz="0" w:space="0" w:color="auto"/>
                                <w:right w:val="none" w:sz="0" w:space="0" w:color="auto"/>
                              </w:divBdr>
                              <w:divsChild>
                                <w:div w:id="509948271">
                                  <w:marLeft w:val="0"/>
                                  <w:marRight w:val="0"/>
                                  <w:marTop w:val="0"/>
                                  <w:marBottom w:val="0"/>
                                  <w:divBdr>
                                    <w:top w:val="none" w:sz="0" w:space="0" w:color="auto"/>
                                    <w:left w:val="none" w:sz="0" w:space="0" w:color="auto"/>
                                    <w:bottom w:val="none" w:sz="0" w:space="0" w:color="auto"/>
                                    <w:right w:val="none" w:sz="0" w:space="0" w:color="auto"/>
                                  </w:divBdr>
                                  <w:divsChild>
                                    <w:div w:id="927153931">
                                      <w:marLeft w:val="75"/>
                                      <w:marRight w:val="75"/>
                                      <w:marTop w:val="75"/>
                                      <w:marBottom w:val="75"/>
                                      <w:divBdr>
                                        <w:top w:val="none" w:sz="0" w:space="0" w:color="auto"/>
                                        <w:left w:val="none" w:sz="0" w:space="0" w:color="auto"/>
                                        <w:bottom w:val="none" w:sz="0" w:space="0" w:color="auto"/>
                                        <w:right w:val="none" w:sz="0" w:space="0" w:color="auto"/>
                                      </w:divBdr>
                                      <w:divsChild>
                                        <w:div w:id="1821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5909">
              <w:marLeft w:val="135"/>
              <w:marRight w:val="150"/>
              <w:marTop w:val="0"/>
              <w:marBottom w:val="0"/>
              <w:divBdr>
                <w:top w:val="none" w:sz="0" w:space="0" w:color="auto"/>
                <w:left w:val="none" w:sz="0" w:space="0" w:color="auto"/>
                <w:bottom w:val="none" w:sz="0" w:space="0" w:color="auto"/>
                <w:right w:val="none" w:sz="0" w:space="0" w:color="auto"/>
              </w:divBdr>
              <w:divsChild>
                <w:div w:id="1416168401">
                  <w:marLeft w:val="0"/>
                  <w:marRight w:val="0"/>
                  <w:marTop w:val="0"/>
                  <w:marBottom w:val="0"/>
                  <w:divBdr>
                    <w:top w:val="none" w:sz="0" w:space="0" w:color="auto"/>
                    <w:left w:val="none" w:sz="0" w:space="0" w:color="auto"/>
                    <w:bottom w:val="none" w:sz="0" w:space="0" w:color="auto"/>
                    <w:right w:val="none" w:sz="0" w:space="0" w:color="auto"/>
                  </w:divBdr>
                  <w:divsChild>
                    <w:div w:id="1152912614">
                      <w:marLeft w:val="0"/>
                      <w:marRight w:val="0"/>
                      <w:marTop w:val="0"/>
                      <w:marBottom w:val="0"/>
                      <w:divBdr>
                        <w:top w:val="none" w:sz="0" w:space="0" w:color="auto"/>
                        <w:left w:val="none" w:sz="0" w:space="0" w:color="auto"/>
                        <w:bottom w:val="none" w:sz="0" w:space="0" w:color="auto"/>
                        <w:right w:val="none" w:sz="0" w:space="0" w:color="auto"/>
                      </w:divBdr>
                      <w:divsChild>
                        <w:div w:id="988092292">
                          <w:marLeft w:val="0"/>
                          <w:marRight w:val="0"/>
                          <w:marTop w:val="225"/>
                          <w:marBottom w:val="0"/>
                          <w:divBdr>
                            <w:top w:val="none" w:sz="0" w:space="0" w:color="auto"/>
                            <w:left w:val="none" w:sz="0" w:space="0" w:color="auto"/>
                            <w:bottom w:val="none" w:sz="0" w:space="0" w:color="auto"/>
                            <w:right w:val="none" w:sz="0" w:space="0" w:color="auto"/>
                          </w:divBdr>
                          <w:divsChild>
                            <w:div w:id="2034726131">
                              <w:marLeft w:val="0"/>
                              <w:marRight w:val="0"/>
                              <w:marTop w:val="0"/>
                              <w:marBottom w:val="0"/>
                              <w:divBdr>
                                <w:top w:val="none" w:sz="0" w:space="0" w:color="auto"/>
                                <w:left w:val="none" w:sz="0" w:space="0" w:color="auto"/>
                                <w:bottom w:val="none" w:sz="0" w:space="0" w:color="auto"/>
                                <w:right w:val="none" w:sz="0" w:space="0" w:color="auto"/>
                              </w:divBdr>
                              <w:divsChild>
                                <w:div w:id="492911710">
                                  <w:marLeft w:val="0"/>
                                  <w:marRight w:val="0"/>
                                  <w:marTop w:val="0"/>
                                  <w:marBottom w:val="0"/>
                                  <w:divBdr>
                                    <w:top w:val="none" w:sz="0" w:space="0" w:color="auto"/>
                                    <w:left w:val="none" w:sz="0" w:space="0" w:color="auto"/>
                                    <w:bottom w:val="none" w:sz="0" w:space="0" w:color="auto"/>
                                    <w:right w:val="none" w:sz="0" w:space="0" w:color="auto"/>
                                  </w:divBdr>
                                  <w:divsChild>
                                    <w:div w:id="2558645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cqa.org/"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qa.org/programs/recognition/relevant-to-all-recognition/recognition-training" TargetMode="External"/><Relationship Id="rId4" Type="http://schemas.openxmlformats.org/officeDocument/2006/relationships/settings" Target="settings.xml"/><Relationship Id="rId9" Type="http://schemas.openxmlformats.org/officeDocument/2006/relationships/hyperlink" Target="http://www.ncqa.org/programs/recognition/relevant-to-all-recognition/recognition-training/pcmh-2014-stand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2016-08-16T18:41:00Z</dcterms:created>
  <dcterms:modified xsi:type="dcterms:W3CDTF">2016-08-16T18:41:00Z</dcterms:modified>
</cp:coreProperties>
</file>