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877F68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Minutes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A4123A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A4123A">
              <w:rPr>
                <w:color w:val="000080"/>
              </w:rPr>
              <w:t>August 9</w:t>
            </w:r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180290" w:rsidRPr="007E2044" w:rsidRDefault="007E2044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A" w:rsidRDefault="00A4123A" w:rsidP="00A4123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A4123A" w:rsidRDefault="00A4123A" w:rsidP="00A4123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785F77" w:rsidRPr="007E2044" w:rsidRDefault="00A4123A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60</w:t>
            </w:r>
            <w:r w:rsidR="001E103D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CPC+</w:t>
            </w:r>
          </w:p>
          <w:p w:rsidR="00E01D81" w:rsidRPr="00E01D81" w:rsidRDefault="00E01D81" w:rsidP="00F12364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BCBSRI, UHC, TUFTS and Rhode Island Medicaid put in applications as payers for CPC+.  They have all received letters with provisional acceptance.  This provides a great opportunity to attract and transform unaffiliated practices around the state.  </w:t>
            </w:r>
          </w:p>
          <w:p w:rsidR="00F12364" w:rsidRDefault="00802639" w:rsidP="00E01D81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CPC+ </w:t>
            </w:r>
            <w:r w:rsidR="00E01D81">
              <w:rPr>
                <w:rFonts w:ascii="Arial" w:hAnsi="Arial" w:cs="Arial"/>
                <w:sz w:val="20"/>
              </w:rPr>
              <w:t xml:space="preserve">Track 1 practices </w:t>
            </w:r>
            <w:r>
              <w:rPr>
                <w:rFonts w:ascii="Arial" w:hAnsi="Arial" w:cs="Arial"/>
                <w:sz w:val="20"/>
              </w:rPr>
              <w:t>aligns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very closely with CTC and would be straight forward to implement. -</w:t>
            </w:r>
            <w:r w:rsidR="00E01D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RI health plans view </w:t>
            </w:r>
            <w:r w:rsidR="00E01D81">
              <w:rPr>
                <w:rFonts w:ascii="Arial" w:hAnsi="Arial" w:cs="Arial"/>
                <w:sz w:val="20"/>
              </w:rPr>
              <w:t>Track 2 practices</w:t>
            </w:r>
            <w:r>
              <w:rPr>
                <w:rFonts w:ascii="Arial" w:hAnsi="Arial" w:cs="Arial"/>
                <w:sz w:val="20"/>
              </w:rPr>
              <w:t xml:space="preserve"> as those in </w:t>
            </w:r>
            <w:r w:rsidR="00E01D81">
              <w:rPr>
                <w:rFonts w:ascii="Arial" w:hAnsi="Arial" w:cs="Arial"/>
                <w:sz w:val="20"/>
              </w:rPr>
              <w:t xml:space="preserve">those currently in ACO agreements.  </w:t>
            </w:r>
            <w:r w:rsidR="00912643">
              <w:rPr>
                <w:rFonts w:ascii="Arial" w:hAnsi="Arial" w:cs="Arial"/>
                <w:sz w:val="20"/>
              </w:rPr>
              <w:t xml:space="preserve">We don’t </w:t>
            </w:r>
            <w:r>
              <w:rPr>
                <w:rFonts w:ascii="Arial" w:hAnsi="Arial" w:cs="Arial"/>
                <w:sz w:val="20"/>
              </w:rPr>
              <w:t xml:space="preserve">want to create untended consequences </w:t>
            </w:r>
            <w:r w:rsidR="007226EF">
              <w:rPr>
                <w:rFonts w:ascii="Arial" w:hAnsi="Arial" w:cs="Arial"/>
                <w:sz w:val="20"/>
              </w:rPr>
              <w:t xml:space="preserve">where by CPC+ under cuts RI efforts </w:t>
            </w:r>
            <w:r w:rsidR="00877F68">
              <w:rPr>
                <w:rFonts w:ascii="Arial" w:hAnsi="Arial" w:cs="Arial"/>
                <w:sz w:val="20"/>
              </w:rPr>
              <w:t>to have</w:t>
            </w:r>
            <w:r w:rsidR="007226EF">
              <w:rPr>
                <w:rFonts w:ascii="Arial" w:hAnsi="Arial" w:cs="Arial"/>
                <w:sz w:val="20"/>
              </w:rPr>
              <w:t xml:space="preserve"> </w:t>
            </w:r>
            <w:r w:rsidR="00877F68">
              <w:rPr>
                <w:rFonts w:ascii="Arial" w:hAnsi="Arial" w:cs="Arial"/>
                <w:sz w:val="20"/>
              </w:rPr>
              <w:t>providers</w:t>
            </w:r>
            <w:r w:rsidR="007226EF">
              <w:rPr>
                <w:rFonts w:ascii="Arial" w:hAnsi="Arial" w:cs="Arial"/>
                <w:sz w:val="20"/>
              </w:rPr>
              <w:t xml:space="preserve"> align </w:t>
            </w:r>
            <w:r w:rsidR="00877F68">
              <w:rPr>
                <w:rFonts w:ascii="Arial" w:hAnsi="Arial" w:cs="Arial"/>
                <w:sz w:val="20"/>
              </w:rPr>
              <w:t>with</w:t>
            </w:r>
            <w:r w:rsidR="007226EF">
              <w:rPr>
                <w:rFonts w:ascii="Arial" w:hAnsi="Arial" w:cs="Arial"/>
                <w:sz w:val="20"/>
              </w:rPr>
              <w:t xml:space="preserve"> system of car.  Caution also </w:t>
            </w:r>
            <w:proofErr w:type="gramStart"/>
            <w:r w:rsidR="007226EF">
              <w:rPr>
                <w:rFonts w:ascii="Arial" w:hAnsi="Arial" w:cs="Arial"/>
                <w:sz w:val="20"/>
              </w:rPr>
              <w:t>raised</w:t>
            </w:r>
            <w:proofErr w:type="gramEnd"/>
            <w:r w:rsidR="007226EF">
              <w:rPr>
                <w:rFonts w:ascii="Arial" w:hAnsi="Arial" w:cs="Arial"/>
                <w:sz w:val="20"/>
              </w:rPr>
              <w:t xml:space="preserve"> about </w:t>
            </w:r>
            <w:r w:rsidR="00912643">
              <w:rPr>
                <w:rFonts w:ascii="Arial" w:hAnsi="Arial" w:cs="Arial"/>
                <w:sz w:val="20"/>
              </w:rPr>
              <w:t xml:space="preserve">providers away </w:t>
            </w:r>
            <w:r w:rsidR="007226EF">
              <w:rPr>
                <w:rFonts w:ascii="Arial" w:hAnsi="Arial" w:cs="Arial"/>
                <w:sz w:val="20"/>
              </w:rPr>
              <w:t xml:space="preserve">moving away </w:t>
            </w:r>
            <w:r w:rsidR="00912643">
              <w:rPr>
                <w:rFonts w:ascii="Arial" w:hAnsi="Arial" w:cs="Arial"/>
                <w:sz w:val="20"/>
              </w:rPr>
              <w:t xml:space="preserve">from Medicare Advantage, to Medicare FFS, due to increased incentives.  </w:t>
            </w:r>
          </w:p>
          <w:p w:rsidR="00E01D81" w:rsidRPr="00D673A5" w:rsidRDefault="00E01D81" w:rsidP="00D673A5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are </w:t>
            </w:r>
            <w:r w:rsidR="00D673A5">
              <w:rPr>
                <w:rFonts w:ascii="Arial" w:hAnsi="Arial" w:cs="Arial"/>
                <w:sz w:val="20"/>
              </w:rPr>
              <w:t xml:space="preserve">questions that we need to pose to CMS.  Project management will draft a memo with these questions and send to the group for confirmation.  Once the payers confirm the memo, they will send it to CMS with a request for a joint call for discussion.  </w:t>
            </w:r>
          </w:p>
          <w:p w:rsidR="00D673A5" w:rsidRPr="00877F68" w:rsidRDefault="00912643" w:rsidP="007226EF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need to know how many practices CMS is intending to accept into the program.  If we were to </w:t>
            </w:r>
            <w:r w:rsidR="003072F5">
              <w:rPr>
                <w:rFonts w:ascii="Arial" w:hAnsi="Arial" w:cs="Arial"/>
                <w:sz w:val="20"/>
              </w:rPr>
              <w:t xml:space="preserve">increase the number of practices that we will bring in due to CPC+ (budgeted for 20 adult and 10 pediatric), we would have to </w:t>
            </w:r>
            <w:r w:rsidR="007226EF">
              <w:rPr>
                <w:rFonts w:ascii="Arial" w:hAnsi="Arial" w:cs="Arial"/>
                <w:sz w:val="20"/>
              </w:rPr>
              <w:t xml:space="preserve">delay </w:t>
            </w:r>
            <w:r w:rsidR="003072F5">
              <w:rPr>
                <w:rFonts w:ascii="Arial" w:hAnsi="Arial" w:cs="Arial"/>
                <w:sz w:val="20"/>
              </w:rPr>
              <w:t xml:space="preserve">pediatric expansion. OHIC and BCBS have lists of potential practices to target in this expansion/CPC+ track 1.  Project management will work with OHIC on obtaining a refined OHIC target practice list and then work with BCBS to ensure that it syncs up with theirs.  </w:t>
            </w:r>
          </w:p>
          <w:p w:rsidR="00877F68" w:rsidRPr="00877F68" w:rsidRDefault="00877F68" w:rsidP="00877F68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group agreed that this expansion should focus on CPC+ only to maximize this funding opportunity to engage unaffiliated practices.  This would delay any pediatric expansion to 2018.  The OHIC targets for increases in PCMH networks, for health plans, are a floor and not a ceiling.  However, if a plan exceeds these thresholds in a given year, consideration will be given towards the following year’s requirements.  </w:t>
            </w:r>
          </w:p>
          <w:p w:rsidR="00877F68" w:rsidRPr="00E01D81" w:rsidRDefault="00877F68" w:rsidP="00877F68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health plans will review estimated model parameters and let project management know if there are any changes needed.  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D673A5" w:rsidRDefault="00D673A5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D673A5" w:rsidRDefault="00D673A5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D673A5" w:rsidRDefault="00D673A5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D673A5" w:rsidRDefault="00D673A5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D673A5" w:rsidRDefault="00D673A5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877F68" w:rsidRDefault="00877F68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D673A5" w:rsidRDefault="00D23346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</w:t>
            </w:r>
          </w:p>
          <w:p w:rsidR="003072F5" w:rsidRDefault="003072F5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3072F5" w:rsidRDefault="003072F5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3072F5" w:rsidRDefault="003072F5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3072F5" w:rsidRDefault="00D23346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</w:tr>
      <w:tr w:rsidR="004E4BE4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lastRenderedPageBreak/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7E2044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H. Hakim</w:t>
            </w:r>
          </w:p>
          <w:p w:rsidR="004E4BE4" w:rsidRPr="007E2044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10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Outstanding PCMH-Kids Issues</w:t>
            </w:r>
          </w:p>
          <w:p w:rsidR="004E4BE4" w:rsidRPr="00D23346" w:rsidRDefault="00D23346" w:rsidP="00D23346">
            <w:pPr>
              <w:pStyle w:val="tbltxt9pt"/>
              <w:numPr>
                <w:ilvl w:val="0"/>
                <w:numId w:val="39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At our last session there were discussions on two PCMH Kids issues:</w:t>
            </w:r>
          </w:p>
          <w:p w:rsidR="00D23346" w:rsidRPr="00F9345F" w:rsidRDefault="00D23346" w:rsidP="00D23346">
            <w:pPr>
              <w:pStyle w:val="tbltxt9pt"/>
              <w:numPr>
                <w:ilvl w:val="1"/>
                <w:numId w:val="39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NCQA:  As part of the PCMH-Kids contract, practice sites are required to achieve their NCQA recognition before entering Performance Year 1. The contract language does not specify whether a practice must submit or have recognition “in-hand” from NCQA by this date.  Three practices will submit their NCQA by 12/31/16, but won’t have recognition “in-hand” from NCQA by that date as NCQA often takes several months to respond. They have work plans in place to submit by 12/31/16. Recommend that if practices do not submit by 12/31/16—they submit a corrective action plan. Future contracts should specify submission date versus having recognition “in-hand” from NCQA. Future contracts should align with OHIC and CTC to allow 21 months to submit. </w:t>
            </w:r>
          </w:p>
          <w:p w:rsidR="00D23346" w:rsidRPr="00581429" w:rsidRDefault="00D23346" w:rsidP="00D23346">
            <w:pPr>
              <w:pStyle w:val="tbltxt9pt"/>
              <w:numPr>
                <w:ilvl w:val="1"/>
                <w:numId w:val="39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CAHPS:  </w:t>
            </w:r>
            <w:r w:rsidRPr="00581429">
              <w:rPr>
                <w:rFonts w:ascii="Arial" w:hAnsi="Arial" w:cs="Arial"/>
                <w:sz w:val="20"/>
              </w:rPr>
              <w:t xml:space="preserve">This survey was conducted in November 2015; however, the PCMH-Kids Common Contract was not initiated until January 2016. Despite this, three pilot practices </w:t>
            </w:r>
            <w:r>
              <w:rPr>
                <w:rFonts w:ascii="Arial" w:hAnsi="Arial" w:cs="Arial"/>
                <w:sz w:val="20"/>
              </w:rPr>
              <w:t xml:space="preserve">current CTC practices </w:t>
            </w:r>
            <w:r w:rsidRPr="00581429">
              <w:rPr>
                <w:rFonts w:ascii="Arial" w:hAnsi="Arial" w:cs="Arial"/>
                <w:sz w:val="20"/>
              </w:rPr>
              <w:t xml:space="preserve">participated in November 2015 </w:t>
            </w:r>
            <w:r>
              <w:rPr>
                <w:rFonts w:ascii="Arial" w:hAnsi="Arial" w:cs="Arial"/>
                <w:sz w:val="20"/>
              </w:rPr>
              <w:t>fielded a survey</w:t>
            </w:r>
            <w:r w:rsidRPr="00581429">
              <w:rPr>
                <w:rFonts w:ascii="Arial" w:hAnsi="Arial" w:cs="Arial"/>
                <w:sz w:val="20"/>
              </w:rPr>
              <w:t xml:space="preserve">. Two practices had recently participated in the survey and were able to share results. Four practices did not participate. </w:t>
            </w:r>
            <w:r>
              <w:rPr>
                <w:rFonts w:ascii="Arial" w:hAnsi="Arial" w:cs="Arial"/>
                <w:sz w:val="20"/>
              </w:rPr>
              <w:t xml:space="preserve">This doesn’t allow them to have a baseline.  It is requested that the baseline period is shifted up to </w:t>
            </w:r>
            <w:proofErr w:type="gramStart"/>
            <w:r>
              <w:rPr>
                <w:rFonts w:ascii="Arial" w:hAnsi="Arial" w:cs="Arial"/>
                <w:sz w:val="20"/>
              </w:rPr>
              <w:t>Fall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2016, with additional surveys to follow in fall of 2017 and 2018.  This does not affect any adjudication timelines. All practices will have 3 years of data.  </w:t>
            </w:r>
          </w:p>
          <w:p w:rsidR="00D23346" w:rsidRDefault="00D23346" w:rsidP="00D23346">
            <w:pPr>
              <w:pStyle w:val="tbltxt9pt"/>
              <w:numPr>
                <w:ilvl w:val="0"/>
                <w:numId w:val="39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need to amend agreements, as the payers will monitor the submission for NCQA and will shift to corrective action plans if nothing is done by December 1</w:t>
            </w:r>
            <w:r w:rsidRPr="00D23346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4E4BE4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9345F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A4123A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F9345F" w:rsidRPr="007E2044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10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Contracts</w:t>
            </w:r>
          </w:p>
          <w:p w:rsidR="00A4123A" w:rsidRPr="00A4123A" w:rsidRDefault="00A4123A" w:rsidP="00D23346">
            <w:pPr>
              <w:pStyle w:val="tbltxt9pt"/>
              <w:numPr>
                <w:ilvl w:val="0"/>
                <w:numId w:val="38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Amendment for “true-up” issue</w:t>
            </w:r>
            <w:r w:rsidR="00D23346">
              <w:rPr>
                <w:rFonts w:ascii="Arial" w:hAnsi="Arial" w:cs="Arial"/>
                <w:sz w:val="20"/>
              </w:rPr>
              <w:t xml:space="preserve">:  Project management will send out a communication describing this item and if there is need for discussion we will have it at the September meeting.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D23346" w:rsidRDefault="00D23346" w:rsidP="00D23346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F9345F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2442A3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62619E" w:rsidRPr="0062619E" w:rsidRDefault="00805485" w:rsidP="00A4123A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A4123A">
              <w:rPr>
                <w:rFonts w:ascii="Arial" w:hAnsi="Arial" w:cs="Arial"/>
                <w:sz w:val="20"/>
              </w:rPr>
              <w:t>September 13</w:t>
            </w:r>
            <w:r w:rsidR="001169E7">
              <w:rPr>
                <w:rFonts w:ascii="Arial" w:hAnsi="Arial" w:cs="Arial"/>
                <w:sz w:val="20"/>
              </w:rPr>
              <w:t>, 2016</w:t>
            </w:r>
            <w:r w:rsidR="001E10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  <w:tr w:rsidR="00D23346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D23346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08/09/16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D23346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Default="008B0ED3" w:rsidP="00243448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  <w:p w:rsidR="008B0ED3" w:rsidRPr="00A65F1B" w:rsidRDefault="008B0ED3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Plans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8B0ED3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Project management will draft memo to CMS with questions on CPC+, including request for joint conference call.  Plans will confirm and send to CMS.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8B0ED3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09/13/16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D23346" w:rsidP="00243448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D23346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D23346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08/09/16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D23346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3" w:rsidRDefault="008B0ED3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OHIC</w:t>
            </w:r>
          </w:p>
          <w:p w:rsidR="00D23346" w:rsidRPr="00A65F1B" w:rsidRDefault="008B0ED3" w:rsidP="00243448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8B0ED3" w:rsidP="008B0ED3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Corey will pull together a draft targeted practice list and send to project management.  Project management will compare this listing with BCBS and then report back to the committee.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8B0ED3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09/13/16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D23346" w:rsidP="00243448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D23346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D23346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08/09/16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D23346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8B0ED3" w:rsidP="00243448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8B0ED3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 xml:space="preserve">Project management will send out communication regarding a potential solution for the “true-up” administrative issue.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8B0ED3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09/13/16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A65F1B" w:rsidRDefault="00D23346" w:rsidP="00243448">
            <w:pPr>
              <w:pStyle w:val="tbltxt9ptbc"/>
              <w:rPr>
                <w:color w:val="000080"/>
                <w:szCs w:val="18"/>
              </w:rPr>
            </w:pP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9D" w:rsidRDefault="0021679D" w:rsidP="00BB4C9E">
      <w:pPr>
        <w:pStyle w:val="tbltxt9pt"/>
      </w:pPr>
      <w:r>
        <w:separator/>
      </w:r>
    </w:p>
  </w:endnote>
  <w:endnote w:type="continuationSeparator" w:id="0">
    <w:p w:rsidR="0021679D" w:rsidRDefault="0021679D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877F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9D" w:rsidRDefault="0021679D" w:rsidP="00BB4C9E">
      <w:pPr>
        <w:pStyle w:val="tbltxt9pt"/>
      </w:pPr>
      <w:r>
        <w:separator/>
      </w:r>
    </w:p>
  </w:footnote>
  <w:footnote w:type="continuationSeparator" w:id="0">
    <w:p w:rsidR="0021679D" w:rsidRDefault="0021679D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E42E6"/>
    <w:multiLevelType w:val="hybridMultilevel"/>
    <w:tmpl w:val="531E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94ACB"/>
    <w:multiLevelType w:val="hybridMultilevel"/>
    <w:tmpl w:val="393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35"/>
  </w:num>
  <w:num w:numId="5">
    <w:abstractNumId w:val="2"/>
  </w:num>
  <w:num w:numId="6">
    <w:abstractNumId w:val="9"/>
  </w:num>
  <w:num w:numId="7">
    <w:abstractNumId w:val="23"/>
  </w:num>
  <w:num w:numId="8">
    <w:abstractNumId w:val="25"/>
  </w:num>
  <w:num w:numId="9">
    <w:abstractNumId w:val="15"/>
  </w:num>
  <w:num w:numId="10">
    <w:abstractNumId w:val="33"/>
  </w:num>
  <w:num w:numId="11">
    <w:abstractNumId w:val="38"/>
  </w:num>
  <w:num w:numId="12">
    <w:abstractNumId w:val="18"/>
  </w:num>
  <w:num w:numId="13">
    <w:abstractNumId w:val="30"/>
  </w:num>
  <w:num w:numId="14">
    <w:abstractNumId w:val="26"/>
  </w:num>
  <w:num w:numId="15">
    <w:abstractNumId w:val="24"/>
  </w:num>
  <w:num w:numId="16">
    <w:abstractNumId w:val="17"/>
  </w:num>
  <w:num w:numId="17">
    <w:abstractNumId w:val="22"/>
  </w:num>
  <w:num w:numId="18">
    <w:abstractNumId w:val="5"/>
  </w:num>
  <w:num w:numId="19">
    <w:abstractNumId w:val="21"/>
  </w:num>
  <w:num w:numId="20">
    <w:abstractNumId w:val="6"/>
  </w:num>
  <w:num w:numId="21">
    <w:abstractNumId w:val="8"/>
  </w:num>
  <w:num w:numId="22">
    <w:abstractNumId w:val="13"/>
  </w:num>
  <w:num w:numId="23">
    <w:abstractNumId w:val="7"/>
  </w:num>
  <w:num w:numId="24">
    <w:abstractNumId w:val="19"/>
  </w:num>
  <w:num w:numId="25">
    <w:abstractNumId w:val="36"/>
  </w:num>
  <w:num w:numId="26">
    <w:abstractNumId w:val="34"/>
  </w:num>
  <w:num w:numId="27">
    <w:abstractNumId w:val="1"/>
  </w:num>
  <w:num w:numId="28">
    <w:abstractNumId w:val="27"/>
  </w:num>
  <w:num w:numId="29">
    <w:abstractNumId w:val="3"/>
  </w:num>
  <w:num w:numId="30">
    <w:abstractNumId w:val="32"/>
  </w:num>
  <w:num w:numId="31">
    <w:abstractNumId w:val="37"/>
  </w:num>
  <w:num w:numId="32">
    <w:abstractNumId w:val="28"/>
  </w:num>
  <w:num w:numId="33">
    <w:abstractNumId w:val="14"/>
  </w:num>
  <w:num w:numId="34">
    <w:abstractNumId w:val="4"/>
  </w:num>
  <w:num w:numId="35">
    <w:abstractNumId w:val="0"/>
  </w:num>
  <w:num w:numId="36">
    <w:abstractNumId w:val="11"/>
  </w:num>
  <w:num w:numId="37">
    <w:abstractNumId w:val="12"/>
  </w:num>
  <w:num w:numId="38">
    <w:abstractNumId w:val="31"/>
  </w:num>
  <w:num w:numId="3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1679D"/>
    <w:rsid w:val="00220F7D"/>
    <w:rsid w:val="002250AC"/>
    <w:rsid w:val="00227F6D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072F5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077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6EF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2639"/>
    <w:rsid w:val="008046D5"/>
    <w:rsid w:val="008051EC"/>
    <w:rsid w:val="00805485"/>
    <w:rsid w:val="008059D3"/>
    <w:rsid w:val="00805E5B"/>
    <w:rsid w:val="008106CC"/>
    <w:rsid w:val="00813CB7"/>
    <w:rsid w:val="00816D11"/>
    <w:rsid w:val="00822E02"/>
    <w:rsid w:val="008236C4"/>
    <w:rsid w:val="008255B6"/>
    <w:rsid w:val="00830A3F"/>
    <w:rsid w:val="00831601"/>
    <w:rsid w:val="00831E2E"/>
    <w:rsid w:val="00832CA5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7F68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0ED3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2643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23A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100AB"/>
    <w:rsid w:val="00D1065C"/>
    <w:rsid w:val="00D119B5"/>
    <w:rsid w:val="00D11E6A"/>
    <w:rsid w:val="00D15420"/>
    <w:rsid w:val="00D157BC"/>
    <w:rsid w:val="00D20F6E"/>
    <w:rsid w:val="00D21504"/>
    <w:rsid w:val="00D22FC7"/>
    <w:rsid w:val="00D23346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673A5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1D81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26B40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45F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BE68-A120-4148-818D-F5E6DC20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2012-09-13T20:30:00Z</cp:lastPrinted>
  <dcterms:created xsi:type="dcterms:W3CDTF">2016-08-15T17:36:00Z</dcterms:created>
  <dcterms:modified xsi:type="dcterms:W3CDTF">2016-08-15T17:36:00Z</dcterms:modified>
</cp:coreProperties>
</file>