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0" w:rsidRPr="00081901" w:rsidRDefault="004150AA" w:rsidP="00680786">
      <w:pPr>
        <w:pStyle w:val="Heading1"/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Draft:</w:t>
      </w:r>
      <w:r w:rsidR="00E2706D">
        <w:rPr>
          <w:sz w:val="24"/>
          <w:szCs w:val="24"/>
        </w:rPr>
        <w:t xml:space="preserve"> CTC </w:t>
      </w:r>
      <w:r>
        <w:rPr>
          <w:sz w:val="24"/>
          <w:szCs w:val="24"/>
        </w:rPr>
        <w:t xml:space="preserve">Contract </w:t>
      </w:r>
      <w:r w:rsidRPr="00CE7A7D">
        <w:rPr>
          <w:sz w:val="24"/>
          <w:szCs w:val="24"/>
        </w:rPr>
        <w:t>Milestones</w:t>
      </w:r>
      <w:r w:rsidR="0013402C" w:rsidRPr="00CE7A7D">
        <w:rPr>
          <w:sz w:val="24"/>
          <w:szCs w:val="24"/>
        </w:rPr>
        <w:t xml:space="preserve"> Summary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2628"/>
        <w:gridCol w:w="4230"/>
        <w:gridCol w:w="4230"/>
        <w:gridCol w:w="3960"/>
      </w:tblGrid>
      <w:tr w:rsidR="00B00997" w:rsidRPr="00203811" w:rsidTr="00A7741A">
        <w:trPr>
          <w:trHeight w:val="278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B33" w:rsidRPr="00203811" w:rsidRDefault="00AC1B33" w:rsidP="005D75E1">
            <w:pPr>
              <w:rPr>
                <w:sz w:val="19"/>
                <w:szCs w:val="19"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E3EDB" w:rsidRPr="00203811" w:rsidRDefault="00E2706D" w:rsidP="0068078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Year 1 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AC1B33" w:rsidRPr="00203811" w:rsidRDefault="00E2706D" w:rsidP="0042434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Year 2 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:rsidR="00AC1B33" w:rsidRPr="00203811" w:rsidRDefault="00E2706D" w:rsidP="00C0526A">
            <w:pPr>
              <w:ind w:right="187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Year 3</w:t>
            </w:r>
          </w:p>
        </w:tc>
      </w:tr>
      <w:tr w:rsidR="00E47B39" w:rsidRPr="00203811" w:rsidTr="00A7741A">
        <w:trPr>
          <w:trHeight w:val="4130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0E3EDB" w:rsidRPr="00203811" w:rsidRDefault="005F6D3D" w:rsidP="00E34FD0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Risk Stratified Care Management and Planned Care for Population Health</w:t>
            </w:r>
          </w:p>
        </w:tc>
        <w:tc>
          <w:tcPr>
            <w:tcW w:w="4230" w:type="dxa"/>
          </w:tcPr>
          <w:p w:rsidR="000E3EDB" w:rsidRDefault="00DC309C" w:rsidP="00DC309C">
            <w:pPr>
              <w:pStyle w:val="ListParagraph"/>
              <w:numPr>
                <w:ilvl w:val="0"/>
                <w:numId w:val="10"/>
              </w:numPr>
              <w:rPr>
                <w:rFonts w:eastAsiaTheme="majorEastAsia" w:cstheme="majorBidi"/>
                <w:bCs/>
                <w:sz w:val="19"/>
                <w:szCs w:val="19"/>
              </w:rPr>
            </w:pPr>
            <w:r>
              <w:rPr>
                <w:rFonts w:eastAsiaTheme="majorEastAsia" w:cstheme="majorBidi"/>
                <w:bCs/>
                <w:sz w:val="19"/>
                <w:szCs w:val="19"/>
              </w:rPr>
              <w:t xml:space="preserve">Care manager </w:t>
            </w:r>
            <w:r w:rsidR="00D425BD">
              <w:rPr>
                <w:rFonts w:eastAsiaTheme="majorEastAsia" w:cstheme="majorBidi"/>
                <w:bCs/>
                <w:sz w:val="19"/>
                <w:szCs w:val="19"/>
              </w:rPr>
              <w:t xml:space="preserve">Resume, date of hire,  </w:t>
            </w:r>
            <w:r w:rsidRPr="00DC309C">
              <w:rPr>
                <w:rFonts w:eastAsiaTheme="majorEastAsia" w:cstheme="majorBidi"/>
                <w:bCs/>
                <w:sz w:val="19"/>
                <w:szCs w:val="19"/>
              </w:rPr>
              <w:t xml:space="preserve"> (end of </w:t>
            </w:r>
            <w:r w:rsidR="00A7741A">
              <w:rPr>
                <w:rFonts w:eastAsiaTheme="majorEastAsia" w:cstheme="majorBidi"/>
                <w:bCs/>
                <w:sz w:val="19"/>
                <w:szCs w:val="19"/>
              </w:rPr>
              <w:t>4</w:t>
            </w:r>
            <w:r w:rsidR="00A7741A" w:rsidRPr="00A7741A">
              <w:rPr>
                <w:rFonts w:eastAsiaTheme="majorEastAsia" w:cstheme="majorBidi"/>
                <w:bCs/>
                <w:sz w:val="19"/>
                <w:szCs w:val="19"/>
                <w:vertAlign w:val="superscript"/>
              </w:rPr>
              <w:t>th</w:t>
            </w:r>
            <w:r w:rsidR="00A7741A">
              <w:rPr>
                <w:rFonts w:eastAsiaTheme="majorEastAsia" w:cstheme="majorBidi"/>
                <w:bCs/>
                <w:sz w:val="19"/>
                <w:szCs w:val="19"/>
              </w:rPr>
              <w:t xml:space="preserve"> </w:t>
            </w:r>
            <w:r w:rsidRPr="00DC309C">
              <w:rPr>
                <w:rFonts w:eastAsiaTheme="majorEastAsia" w:cstheme="majorBidi"/>
                <w:bCs/>
                <w:sz w:val="19"/>
                <w:szCs w:val="19"/>
              </w:rPr>
              <w:t xml:space="preserve"> month) </w:t>
            </w:r>
          </w:p>
          <w:p w:rsidR="00D425BD" w:rsidRPr="00DC309C" w:rsidRDefault="00D425BD" w:rsidP="00DC309C">
            <w:pPr>
              <w:pStyle w:val="ListParagraph"/>
              <w:numPr>
                <w:ilvl w:val="0"/>
                <w:numId w:val="10"/>
              </w:numPr>
              <w:rPr>
                <w:rFonts w:eastAsiaTheme="majorEastAsia" w:cstheme="majorBidi"/>
                <w:bCs/>
                <w:sz w:val="19"/>
                <w:szCs w:val="19"/>
              </w:rPr>
            </w:pPr>
            <w:r>
              <w:rPr>
                <w:rFonts w:eastAsiaTheme="majorEastAsia" w:cstheme="majorBidi"/>
                <w:bCs/>
                <w:sz w:val="19"/>
                <w:szCs w:val="19"/>
              </w:rPr>
              <w:t xml:space="preserve">Submits budget inclusive of staffing  plan by 4 months </w:t>
            </w:r>
          </w:p>
          <w:p w:rsidR="00DC309C" w:rsidRPr="00DC309C" w:rsidRDefault="00A7741A" w:rsidP="00DC309C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Submits Care Management Policy </w:t>
            </w:r>
            <w:r w:rsidR="00D425BD">
              <w:rPr>
                <w:rFonts w:eastAsiaTheme="minorEastAsia"/>
                <w:sz w:val="20"/>
                <w:szCs w:val="20"/>
              </w:rPr>
              <w:t xml:space="preserve">(inclusive of formal vision for care coordination) </w:t>
            </w:r>
            <w:r w:rsidR="00DC309C" w:rsidRPr="00DC309C">
              <w:rPr>
                <w:rFonts w:eastAsiaTheme="minorEastAsia"/>
                <w:sz w:val="20"/>
                <w:szCs w:val="20"/>
              </w:rPr>
              <w:t>indicating who provides care management services, who receives care management services, process for assessment, outreach,  care plan development and re-evaluation per OHIC guidelines (6 months)</w:t>
            </w:r>
          </w:p>
          <w:p w:rsidR="00DC309C" w:rsidRDefault="00DC309C" w:rsidP="00DC309C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DC309C">
              <w:rPr>
                <w:rFonts w:eastAsiaTheme="minorEastAsia"/>
                <w:sz w:val="20"/>
                <w:szCs w:val="20"/>
              </w:rPr>
              <w:t xml:space="preserve">Generates  registry of high risk patients per CTC specifications and process for reporting NCM activity (9 months) </w:t>
            </w:r>
          </w:p>
          <w:p w:rsidR="000E3EDB" w:rsidRPr="00A7741A" w:rsidRDefault="00DC309C" w:rsidP="00A7741A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DC309C">
              <w:rPr>
                <w:sz w:val="20"/>
                <w:szCs w:val="20"/>
              </w:rPr>
              <w:t>Provides health plan with patient engagement reports (9 months) per health plan guidelines</w:t>
            </w:r>
          </w:p>
        </w:tc>
        <w:tc>
          <w:tcPr>
            <w:tcW w:w="4230" w:type="dxa"/>
          </w:tcPr>
          <w:p w:rsidR="00565FDD" w:rsidRDefault="00565FDD" w:rsidP="00565FDD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Reports on </w:t>
            </w:r>
            <w:r w:rsidRPr="00565FDD">
              <w:rPr>
                <w:rFonts w:eastAsiaTheme="minorEastAsia"/>
                <w:sz w:val="20"/>
                <w:szCs w:val="20"/>
              </w:rPr>
              <w:t>CM activity with high risk patients per CTC guidelines (1</w:t>
            </w:r>
            <w:r w:rsidRPr="00565FDD">
              <w:rPr>
                <w:rFonts w:eastAsiaTheme="minorEastAsia"/>
                <w:sz w:val="20"/>
                <w:szCs w:val="20"/>
                <w:vertAlign w:val="superscript"/>
              </w:rPr>
              <w:t>st</w:t>
            </w:r>
            <w:r w:rsidRPr="00565FDD">
              <w:rPr>
                <w:rFonts w:eastAsiaTheme="minorEastAsia"/>
                <w:sz w:val="20"/>
                <w:szCs w:val="20"/>
              </w:rPr>
              <w:t xml:space="preserve"> month Transition )</w:t>
            </w:r>
          </w:p>
          <w:p w:rsidR="00D425BD" w:rsidRPr="00565FDD" w:rsidRDefault="00D425BD" w:rsidP="00565FDD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Submits budget inclusive of staffing plan (4 months) </w:t>
            </w:r>
          </w:p>
          <w:p w:rsidR="00565FDD" w:rsidRPr="00565FDD" w:rsidRDefault="00565FDD" w:rsidP="00565FDD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565FDD">
              <w:rPr>
                <w:rFonts w:eastAsiaTheme="minorEastAsia"/>
                <w:sz w:val="20"/>
                <w:szCs w:val="20"/>
              </w:rPr>
              <w:t>Per population health assessment,  practice selects and plans for  care management strategy</w:t>
            </w:r>
            <w:r w:rsidR="00FE7C12">
              <w:rPr>
                <w:rFonts w:eastAsiaTheme="minorEastAsia"/>
                <w:sz w:val="20"/>
                <w:szCs w:val="20"/>
              </w:rPr>
              <w:t xml:space="preserve"> See Year 3 for options</w:t>
            </w:r>
            <w:r w:rsidRPr="00565FDD">
              <w:rPr>
                <w:rFonts w:eastAsiaTheme="minorEastAsia"/>
                <w:sz w:val="20"/>
                <w:szCs w:val="20"/>
              </w:rPr>
              <w:t xml:space="preserve"> (6</w:t>
            </w:r>
            <w:r w:rsidRPr="00565FDD">
              <w:rPr>
                <w:rFonts w:eastAsiaTheme="minorEastAsia"/>
                <w:sz w:val="20"/>
                <w:szCs w:val="20"/>
                <w:vertAlign w:val="superscript"/>
              </w:rPr>
              <w:t>th</w:t>
            </w:r>
            <w:r w:rsidRPr="00565FDD">
              <w:rPr>
                <w:rFonts w:eastAsiaTheme="minorEastAsia"/>
                <w:sz w:val="20"/>
                <w:szCs w:val="20"/>
              </w:rPr>
              <w:t xml:space="preserve"> month Transition)</w:t>
            </w:r>
          </w:p>
          <w:p w:rsidR="003976CC" w:rsidRPr="00203811" w:rsidRDefault="003976CC" w:rsidP="00565FDD">
            <w:pPr>
              <w:rPr>
                <w:rFonts w:eastAsiaTheme="majorEastAsia" w:cstheme="majorBidi"/>
                <w:bCs/>
                <w:sz w:val="19"/>
                <w:szCs w:val="19"/>
              </w:rPr>
            </w:pPr>
          </w:p>
        </w:tc>
        <w:tc>
          <w:tcPr>
            <w:tcW w:w="3960" w:type="dxa"/>
          </w:tcPr>
          <w:p w:rsidR="00FE7C12" w:rsidRDefault="00FE7C12" w:rsidP="00FE7C1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00FE7C12">
              <w:rPr>
                <w:rFonts w:eastAsiaTheme="minorEastAsia"/>
                <w:sz w:val="20"/>
                <w:szCs w:val="20"/>
              </w:rPr>
              <w:t>Provides care management for 80% of highest need patients (1</w:t>
            </w:r>
            <w:r w:rsidRPr="00FE7C12">
              <w:rPr>
                <w:rFonts w:eastAsiaTheme="minorEastAsia"/>
                <w:sz w:val="20"/>
                <w:szCs w:val="20"/>
                <w:vertAlign w:val="superscript"/>
              </w:rPr>
              <w:t>st</w:t>
            </w:r>
            <w:r w:rsidRPr="00FE7C12">
              <w:rPr>
                <w:rFonts w:eastAsiaTheme="minorEastAsia"/>
                <w:sz w:val="20"/>
                <w:szCs w:val="20"/>
              </w:rPr>
              <w:t xml:space="preserve"> month Year 3) </w:t>
            </w:r>
          </w:p>
          <w:p w:rsidR="00FE7C12" w:rsidRPr="00A7741A" w:rsidRDefault="00FE7C12" w:rsidP="00A7741A">
            <w:pPr>
              <w:ind w:left="409"/>
              <w:rPr>
                <w:rFonts w:eastAsiaTheme="minorEastAsia"/>
                <w:sz w:val="20"/>
                <w:szCs w:val="20"/>
              </w:rPr>
            </w:pPr>
            <w:r w:rsidRPr="00A7741A">
              <w:rPr>
                <w:rFonts w:eastAsiaTheme="minorEastAsia"/>
                <w:sz w:val="20"/>
                <w:szCs w:val="20"/>
              </w:rPr>
              <w:t>Implements 1 or more care management strategies (3</w:t>
            </w:r>
            <w:r w:rsidRPr="00A7741A">
              <w:rPr>
                <w:rFonts w:eastAsiaTheme="minorEastAsia"/>
                <w:sz w:val="20"/>
                <w:szCs w:val="20"/>
                <w:vertAlign w:val="superscript"/>
              </w:rPr>
              <w:t>rd</w:t>
            </w:r>
            <w:r w:rsidRPr="00A7741A">
              <w:rPr>
                <w:rFonts w:eastAsiaTheme="minorEastAsia"/>
                <w:sz w:val="20"/>
                <w:szCs w:val="20"/>
              </w:rPr>
              <w:t xml:space="preserve"> month Year 3): </w:t>
            </w:r>
          </w:p>
          <w:p w:rsidR="00FE7C12" w:rsidRDefault="00FE7C12" w:rsidP="00FE7C1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 w:rsidRPr="00FE7C12">
              <w:rPr>
                <w:rFonts w:eastAsiaTheme="minorEastAsia"/>
                <w:sz w:val="20"/>
                <w:szCs w:val="20"/>
              </w:rPr>
              <w:t xml:space="preserve">IBH </w:t>
            </w:r>
          </w:p>
          <w:p w:rsidR="00FE7C12" w:rsidRDefault="00FE7C12" w:rsidP="00FE7C1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 w:rsidRPr="00FE7C12">
              <w:rPr>
                <w:rFonts w:eastAsiaTheme="minorEastAsia"/>
                <w:sz w:val="20"/>
                <w:szCs w:val="20"/>
              </w:rPr>
              <w:t>Self-management support for 3 risk conditions (preferred consideration: obesity, tobacco cessation, cancer morbidity and mortality, preventable ED, hospitalizations, re-hospitalizations, child health and immunizations, asthma control, end of life and palliative care</w:t>
            </w:r>
          </w:p>
          <w:p w:rsidR="00F41A8E" w:rsidRPr="00D425BD" w:rsidRDefault="00FE7C12" w:rsidP="00FE7C12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sz w:val="20"/>
                <w:szCs w:val="20"/>
              </w:rPr>
            </w:pPr>
            <w:r w:rsidRPr="00FE7C12">
              <w:rPr>
                <w:sz w:val="20"/>
                <w:szCs w:val="20"/>
              </w:rPr>
              <w:t>Medication management and review</w:t>
            </w:r>
          </w:p>
          <w:p w:rsidR="00D425BD" w:rsidRPr="00D425BD" w:rsidRDefault="00D425BD" w:rsidP="00D425BD">
            <w:pPr>
              <w:pStyle w:val="ListParagraph"/>
              <w:numPr>
                <w:ilvl w:val="0"/>
                <w:numId w:val="27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Submits budget inclusive of staffing plan (4 months) </w:t>
            </w:r>
          </w:p>
        </w:tc>
      </w:tr>
      <w:tr w:rsidR="00E47B39" w:rsidRPr="00203811" w:rsidTr="00A7741A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0E3EDB" w:rsidRPr="00203811" w:rsidRDefault="000E3EDB" w:rsidP="00E34FD0">
            <w:pPr>
              <w:rPr>
                <w:b/>
                <w:sz w:val="19"/>
                <w:szCs w:val="19"/>
              </w:rPr>
            </w:pPr>
          </w:p>
          <w:p w:rsidR="00245154" w:rsidRPr="00203811" w:rsidRDefault="00A61D0E" w:rsidP="00E34FD0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Access and Continuity</w:t>
            </w:r>
          </w:p>
        </w:tc>
        <w:tc>
          <w:tcPr>
            <w:tcW w:w="4230" w:type="dxa"/>
          </w:tcPr>
          <w:p w:rsidR="00010305" w:rsidRPr="00010305" w:rsidRDefault="00010305" w:rsidP="0001030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010305">
              <w:rPr>
                <w:rFonts w:eastAsiaTheme="minorEastAsia"/>
                <w:sz w:val="20"/>
                <w:szCs w:val="20"/>
              </w:rPr>
              <w:t>Provider panel report: accepting new patients/3</w:t>
            </w:r>
            <w:r w:rsidRPr="00010305">
              <w:rPr>
                <w:rFonts w:eastAsiaTheme="minorEastAsia"/>
                <w:sz w:val="20"/>
                <w:szCs w:val="20"/>
                <w:vertAlign w:val="superscript"/>
              </w:rPr>
              <w:t>rd</w:t>
            </w:r>
            <w:r w:rsidRPr="00010305">
              <w:rPr>
                <w:rFonts w:eastAsiaTheme="minorEastAsia"/>
                <w:sz w:val="20"/>
                <w:szCs w:val="20"/>
              </w:rPr>
              <w:t xml:space="preserve"> next available appointment with provider panel submission (3 months) </w:t>
            </w:r>
          </w:p>
          <w:p w:rsidR="00010305" w:rsidRPr="00010305" w:rsidRDefault="00010305" w:rsidP="0001030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010305">
              <w:rPr>
                <w:rFonts w:eastAsiaTheme="minorEastAsia"/>
                <w:sz w:val="20"/>
                <w:szCs w:val="20"/>
              </w:rPr>
              <w:t xml:space="preserve">Submits written Telephone Response Time Policy  (office open and after hours) inclusive of real time access to medical record (6 months) </w:t>
            </w:r>
          </w:p>
          <w:p w:rsidR="00010305" w:rsidRPr="00010305" w:rsidRDefault="00010305" w:rsidP="00010305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010305">
              <w:rPr>
                <w:rFonts w:eastAsiaTheme="minorEastAsia"/>
                <w:sz w:val="20"/>
                <w:szCs w:val="20"/>
              </w:rPr>
              <w:t xml:space="preserve">Submit empanelment report (unless single provider practice): 9 months </w:t>
            </w:r>
          </w:p>
          <w:p w:rsidR="00437372" w:rsidRPr="00203811" w:rsidRDefault="00437372" w:rsidP="00010305">
            <w:pPr>
              <w:rPr>
                <w:rFonts w:eastAsiaTheme="majorEastAsia" w:cstheme="majorBidi"/>
                <w:bCs/>
                <w:sz w:val="19"/>
                <w:szCs w:val="19"/>
              </w:rPr>
            </w:pPr>
          </w:p>
        </w:tc>
        <w:tc>
          <w:tcPr>
            <w:tcW w:w="4230" w:type="dxa"/>
          </w:tcPr>
          <w:p w:rsidR="00D47D14" w:rsidRPr="00D47D14" w:rsidRDefault="00D47D14" w:rsidP="00D47D1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D47D14">
              <w:rPr>
                <w:rFonts w:eastAsiaTheme="minorEastAsia"/>
                <w:sz w:val="20"/>
                <w:szCs w:val="20"/>
              </w:rPr>
              <w:t>Submits Before/After Hour Protocol/ staffing plan with Expanded office hours to so services are available 4 hours over week-end, two hours am or 2 evenings (may be provided through affiliation as long as they are able to share medical information electronically either through shared EHR or each (3</w:t>
            </w:r>
            <w:r w:rsidRPr="00D47D14">
              <w:rPr>
                <w:rFonts w:eastAsiaTheme="minorEastAsia"/>
                <w:sz w:val="20"/>
                <w:szCs w:val="20"/>
                <w:vertAlign w:val="superscript"/>
              </w:rPr>
              <w:t>rd</w:t>
            </w:r>
            <w:r w:rsidRPr="00D47D14">
              <w:rPr>
                <w:rFonts w:eastAsiaTheme="minorEastAsia"/>
                <w:sz w:val="20"/>
                <w:szCs w:val="20"/>
              </w:rPr>
              <w:t xml:space="preserve"> month Year 2) </w:t>
            </w:r>
          </w:p>
          <w:p w:rsidR="00D47D14" w:rsidRDefault="00D47D14" w:rsidP="00D47D1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D47D14">
              <w:rPr>
                <w:rFonts w:eastAsiaTheme="minorEastAsia"/>
                <w:sz w:val="20"/>
                <w:szCs w:val="20"/>
              </w:rPr>
              <w:t>Submits Compact with Urgent Care or other service that is open during week end and evenings (3</w:t>
            </w:r>
            <w:r w:rsidRPr="00D47D14">
              <w:rPr>
                <w:rFonts w:eastAsiaTheme="minorEastAsia"/>
                <w:sz w:val="20"/>
                <w:szCs w:val="20"/>
                <w:vertAlign w:val="superscript"/>
              </w:rPr>
              <w:t>rd</w:t>
            </w:r>
            <w:r w:rsidRPr="00D47D14">
              <w:rPr>
                <w:rFonts w:eastAsiaTheme="minorEastAsia"/>
                <w:sz w:val="20"/>
                <w:szCs w:val="20"/>
              </w:rPr>
              <w:t xml:space="preserve"> month Year 2) </w:t>
            </w:r>
          </w:p>
          <w:p w:rsidR="00D425BD" w:rsidRDefault="00D425BD" w:rsidP="00D47D1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Submits plan to implement at least 1 asynchronous form of patient communication (i.e. patient portal, email, text messaging) inclusive of timely response protocol </w:t>
            </w:r>
          </w:p>
          <w:p w:rsidR="00D47D14" w:rsidRPr="00A7741A" w:rsidRDefault="00D47D14" w:rsidP="00D47D14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D47D14">
              <w:rPr>
                <w:sz w:val="20"/>
                <w:szCs w:val="20"/>
              </w:rPr>
              <w:t>Empanelment report indicates 95% of patients assigned to PCP (9 month Year 2)</w:t>
            </w:r>
          </w:p>
        </w:tc>
        <w:tc>
          <w:tcPr>
            <w:tcW w:w="3960" w:type="dxa"/>
          </w:tcPr>
          <w:p w:rsidR="00245154" w:rsidRPr="00D47D14" w:rsidRDefault="00D47D14" w:rsidP="00AC1B33">
            <w:pPr>
              <w:pStyle w:val="ListParagraph"/>
              <w:numPr>
                <w:ilvl w:val="0"/>
                <w:numId w:val="15"/>
              </w:numPr>
              <w:rPr>
                <w:rFonts w:eastAsiaTheme="majorEastAsia" w:cstheme="majorBidi"/>
                <w:b/>
                <w:bCs/>
                <w:sz w:val="19"/>
                <w:szCs w:val="19"/>
              </w:rPr>
            </w:pPr>
            <w:r w:rsidRPr="00D47D14">
              <w:rPr>
                <w:sz w:val="20"/>
                <w:szCs w:val="20"/>
              </w:rPr>
              <w:t>Submits PDSA process to assess and improve expanded access (3</w:t>
            </w:r>
            <w:r w:rsidRPr="00D47D14">
              <w:rPr>
                <w:sz w:val="20"/>
                <w:szCs w:val="20"/>
                <w:vertAlign w:val="superscript"/>
              </w:rPr>
              <w:t>rd</w:t>
            </w:r>
            <w:r w:rsidRPr="00D47D14">
              <w:rPr>
                <w:sz w:val="20"/>
                <w:szCs w:val="20"/>
              </w:rPr>
              <w:t xml:space="preserve"> and 9</w:t>
            </w:r>
            <w:r w:rsidRPr="00D47D14">
              <w:rPr>
                <w:sz w:val="20"/>
                <w:szCs w:val="20"/>
                <w:vertAlign w:val="superscript"/>
              </w:rPr>
              <w:t>th</w:t>
            </w:r>
            <w:r w:rsidRPr="00D47D14">
              <w:rPr>
                <w:sz w:val="20"/>
                <w:szCs w:val="20"/>
              </w:rPr>
              <w:t xml:space="preserve">  month of Year 3)</w:t>
            </w:r>
          </w:p>
        </w:tc>
      </w:tr>
      <w:tr w:rsidR="00E47B39" w:rsidRPr="00203811" w:rsidTr="00A7741A">
        <w:trPr>
          <w:trHeight w:val="124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37372" w:rsidRPr="00203811" w:rsidRDefault="00417632" w:rsidP="00E34FD0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lastRenderedPageBreak/>
              <w:t>Patient and Family Caregiver Engagement</w:t>
            </w:r>
          </w:p>
        </w:tc>
        <w:tc>
          <w:tcPr>
            <w:tcW w:w="4230" w:type="dxa"/>
          </w:tcPr>
          <w:p w:rsidR="00FE57FB" w:rsidRDefault="00FE57FB" w:rsidP="00FE57F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 priority condition, decision or test that would benefit from shared decision aid; make a decision aid available to appropriate patients and generate a metric for proportion of patients who received decision aid : 9 months </w:t>
            </w:r>
          </w:p>
          <w:p w:rsidR="00C20A82" w:rsidRPr="00FE57FB" w:rsidRDefault="00FE57FB" w:rsidP="00FE57FB">
            <w:pPr>
              <w:pStyle w:val="ListParagraph"/>
              <w:numPr>
                <w:ilvl w:val="0"/>
                <w:numId w:val="15"/>
              </w:numPr>
              <w:rPr>
                <w:rFonts w:eastAsiaTheme="majorEastAsia" w:cstheme="majorBidi"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Obtains baseline patient satisfaction results using CAHPS or How’s Your Health report (10 months) or patient  portal usage report</w:t>
            </w:r>
          </w:p>
        </w:tc>
        <w:tc>
          <w:tcPr>
            <w:tcW w:w="4230" w:type="dxa"/>
            <w:shd w:val="clear" w:color="auto" w:fill="FFFFFF" w:themeFill="background1"/>
          </w:tcPr>
          <w:p w:rsidR="003F3D77" w:rsidRPr="003F3D77" w:rsidRDefault="003F3D77" w:rsidP="003F3D77">
            <w:pPr>
              <w:rPr>
                <w:sz w:val="20"/>
                <w:szCs w:val="20"/>
              </w:rPr>
            </w:pPr>
            <w:r w:rsidRPr="003F3D77">
              <w:rPr>
                <w:sz w:val="20"/>
                <w:szCs w:val="20"/>
              </w:rPr>
              <w:t xml:space="preserve">Options for improving patient experience </w:t>
            </w:r>
          </w:p>
          <w:p w:rsidR="003F3D77" w:rsidRDefault="003F3D77" w:rsidP="003F3D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042FA">
              <w:rPr>
                <w:sz w:val="20"/>
                <w:szCs w:val="20"/>
              </w:rPr>
              <w:t xml:space="preserve">Option A: Conducts practice-based customer experience survey monthly </w:t>
            </w:r>
          </w:p>
          <w:p w:rsidR="003F3D77" w:rsidRDefault="003F3D77" w:rsidP="003F3D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042FA">
              <w:rPr>
                <w:sz w:val="20"/>
                <w:szCs w:val="20"/>
              </w:rPr>
              <w:t xml:space="preserve">Option B: Patient/family advisory meets quarterly </w:t>
            </w:r>
          </w:p>
          <w:p w:rsidR="003F3D77" w:rsidRDefault="003F3D77" w:rsidP="003F3D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042FA">
              <w:rPr>
                <w:sz w:val="20"/>
                <w:szCs w:val="20"/>
              </w:rPr>
              <w:t xml:space="preserve">Option C: Office based surveys quarterly and PFAC meets semi-annually </w:t>
            </w:r>
          </w:p>
          <w:p w:rsidR="003F3D77" w:rsidRPr="00E042FA" w:rsidRDefault="003F3D77" w:rsidP="003F3D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042FA">
              <w:rPr>
                <w:sz w:val="20"/>
                <w:szCs w:val="20"/>
              </w:rPr>
              <w:t xml:space="preserve">Option D: Implements Open Notes </w:t>
            </w:r>
          </w:p>
          <w:p w:rsidR="003F3D77" w:rsidRDefault="003F3D77" w:rsidP="003F3D77">
            <w:pPr>
              <w:rPr>
                <w:sz w:val="20"/>
                <w:szCs w:val="20"/>
              </w:rPr>
            </w:pPr>
          </w:p>
          <w:p w:rsidR="00437372" w:rsidRPr="00A7741A" w:rsidRDefault="003F3D77" w:rsidP="00A7741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F3D77">
              <w:rPr>
                <w:sz w:val="20"/>
                <w:szCs w:val="20"/>
              </w:rPr>
              <w:t xml:space="preserve">Submits communication plan to family/patients about specific changes and explains medical care and services at practices (6months Year 2) </w:t>
            </w:r>
          </w:p>
        </w:tc>
        <w:tc>
          <w:tcPr>
            <w:tcW w:w="3960" w:type="dxa"/>
          </w:tcPr>
          <w:p w:rsidR="00F41A8E" w:rsidRPr="0005271B" w:rsidRDefault="0005271B" w:rsidP="0005271B">
            <w:pPr>
              <w:pStyle w:val="ListParagraph"/>
              <w:numPr>
                <w:ilvl w:val="0"/>
                <w:numId w:val="19"/>
              </w:numPr>
              <w:rPr>
                <w:rFonts w:eastAsiaTheme="majorEastAsia" w:cstheme="majorBidi"/>
                <w:b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Submits PDSA for improving a patient experience metric (1month and 6 month report)</w:t>
            </w:r>
          </w:p>
        </w:tc>
      </w:tr>
      <w:tr w:rsidR="00E47B39" w:rsidRPr="00203811" w:rsidTr="00A7741A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C20A82" w:rsidRPr="00203811" w:rsidRDefault="00617BF1" w:rsidP="000D4573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Comprehensiveness and Medical Home Coordination</w:t>
            </w:r>
          </w:p>
        </w:tc>
        <w:tc>
          <w:tcPr>
            <w:tcW w:w="4230" w:type="dxa"/>
          </w:tcPr>
          <w:p w:rsidR="0032663A" w:rsidRDefault="0032663A" w:rsidP="0032663A">
            <w:pPr>
              <w:spacing w:after="200" w:line="276" w:lineRule="auto"/>
              <w:rPr>
                <w:sz w:val="20"/>
                <w:szCs w:val="20"/>
              </w:rPr>
            </w:pPr>
            <w:r w:rsidRPr="0032663A">
              <w:rPr>
                <w:sz w:val="20"/>
                <w:szCs w:val="20"/>
              </w:rPr>
              <w:t>Submits compacts : (all required 9 months)</w:t>
            </w:r>
          </w:p>
          <w:p w:rsidR="0032663A" w:rsidRPr="0032663A" w:rsidRDefault="0032663A" w:rsidP="0032663A">
            <w:pPr>
              <w:spacing w:after="200" w:line="276" w:lineRule="auto"/>
              <w:rPr>
                <w:sz w:val="20"/>
                <w:szCs w:val="20"/>
              </w:rPr>
            </w:pPr>
            <w:r w:rsidRPr="0032663A">
              <w:rPr>
                <w:sz w:val="20"/>
                <w:szCs w:val="20"/>
              </w:rPr>
              <w:t>Required compacts</w:t>
            </w:r>
          </w:p>
          <w:p w:rsidR="0032663A" w:rsidRPr="0032663A" w:rsidRDefault="0032663A" w:rsidP="0032663A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32663A">
              <w:rPr>
                <w:rFonts w:eastAsiaTheme="minorEastAsia"/>
                <w:sz w:val="20"/>
                <w:szCs w:val="20"/>
              </w:rPr>
              <w:t xml:space="preserve">Behavioral Health inclusive of OHIC requirements </w:t>
            </w:r>
          </w:p>
          <w:p w:rsidR="0032663A" w:rsidRPr="0032663A" w:rsidRDefault="0032663A" w:rsidP="0032663A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32663A">
              <w:rPr>
                <w:rFonts w:eastAsiaTheme="minorEastAsia"/>
                <w:sz w:val="20"/>
                <w:szCs w:val="20"/>
              </w:rPr>
              <w:t xml:space="preserve">Hospitalist Compact </w:t>
            </w:r>
          </w:p>
          <w:p w:rsidR="0032663A" w:rsidRPr="0032663A" w:rsidRDefault="0032663A" w:rsidP="0032663A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32663A">
              <w:rPr>
                <w:rFonts w:eastAsiaTheme="minorEastAsia"/>
                <w:sz w:val="20"/>
                <w:szCs w:val="20"/>
              </w:rPr>
              <w:t xml:space="preserve">2 high volume specialists </w:t>
            </w:r>
            <w:r w:rsidR="00D425BD">
              <w:rPr>
                <w:rFonts w:eastAsiaTheme="minorEastAsia"/>
                <w:sz w:val="20"/>
                <w:szCs w:val="20"/>
              </w:rPr>
              <w:t>with consideration of high value information if available to practice</w:t>
            </w:r>
          </w:p>
          <w:p w:rsidR="0032663A" w:rsidRPr="0032663A" w:rsidRDefault="0032663A" w:rsidP="0032663A">
            <w:pPr>
              <w:spacing w:after="200" w:line="276" w:lineRule="auto"/>
              <w:rPr>
                <w:sz w:val="20"/>
                <w:szCs w:val="20"/>
              </w:rPr>
            </w:pPr>
            <w:r w:rsidRPr="0032663A">
              <w:rPr>
                <w:sz w:val="20"/>
                <w:szCs w:val="20"/>
              </w:rPr>
              <w:t xml:space="preserve">Two additional compacts from following list of options: </w:t>
            </w:r>
          </w:p>
          <w:p w:rsidR="0032663A" w:rsidRPr="0032663A" w:rsidRDefault="0032663A" w:rsidP="0032663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32663A">
              <w:rPr>
                <w:rFonts w:eastAsiaTheme="minorEastAsia"/>
                <w:sz w:val="20"/>
                <w:szCs w:val="20"/>
              </w:rPr>
              <w:t xml:space="preserve">Lab service </w:t>
            </w:r>
          </w:p>
          <w:p w:rsidR="0032663A" w:rsidRPr="0032663A" w:rsidRDefault="0032663A" w:rsidP="0032663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32663A">
              <w:rPr>
                <w:rFonts w:eastAsiaTheme="minorEastAsia"/>
                <w:sz w:val="20"/>
                <w:szCs w:val="20"/>
              </w:rPr>
              <w:t xml:space="preserve">Imaging service </w:t>
            </w:r>
          </w:p>
          <w:p w:rsidR="0032663A" w:rsidRPr="0032663A" w:rsidRDefault="0032663A" w:rsidP="0032663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32663A">
              <w:rPr>
                <w:rFonts w:eastAsiaTheme="minorEastAsia"/>
                <w:sz w:val="20"/>
                <w:szCs w:val="20"/>
              </w:rPr>
              <w:t xml:space="preserve">Physical Therapy </w:t>
            </w:r>
          </w:p>
          <w:p w:rsidR="00C20A82" w:rsidRDefault="0032663A" w:rsidP="00A7741A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32663A">
              <w:rPr>
                <w:rFonts w:eastAsiaTheme="minorEastAsia"/>
                <w:sz w:val="20"/>
                <w:szCs w:val="20"/>
              </w:rPr>
              <w:t xml:space="preserve">Home Health service </w:t>
            </w:r>
          </w:p>
          <w:p w:rsidR="00D425BD" w:rsidRDefault="00D425BD" w:rsidP="00D4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Submits Transition in Care Policy and  Procedure inclusive of OHIC functions </w:t>
            </w:r>
            <w:r>
              <w:rPr>
                <w:sz w:val="20"/>
                <w:szCs w:val="20"/>
              </w:rPr>
              <w:t xml:space="preserve"> by end of Year 1 </w:t>
            </w:r>
          </w:p>
          <w:p w:rsidR="00D425BD" w:rsidRPr="00A7741A" w:rsidRDefault="00D425BD" w:rsidP="00D425BD">
            <w:p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C32C76" w:rsidRPr="00C32C76" w:rsidRDefault="00C32C76" w:rsidP="00C32C76">
            <w:pPr>
              <w:rPr>
                <w:sz w:val="20"/>
                <w:szCs w:val="20"/>
              </w:rPr>
            </w:pPr>
            <w:r w:rsidRPr="00C32C76">
              <w:rPr>
                <w:sz w:val="20"/>
                <w:szCs w:val="20"/>
              </w:rPr>
              <w:t>Provides report selecting 1 of 2  options: (1</w:t>
            </w:r>
            <w:r w:rsidRPr="00C32C76">
              <w:rPr>
                <w:sz w:val="20"/>
                <w:szCs w:val="20"/>
                <w:vertAlign w:val="superscript"/>
              </w:rPr>
              <w:t>st</w:t>
            </w:r>
            <w:r w:rsidRPr="00C32C76">
              <w:rPr>
                <w:sz w:val="20"/>
                <w:szCs w:val="20"/>
              </w:rPr>
              <w:t xml:space="preserve"> month Year 2) </w:t>
            </w:r>
          </w:p>
          <w:p w:rsidR="00C32C76" w:rsidRPr="00C32C76" w:rsidRDefault="00C32C76" w:rsidP="00C32C76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C32C76">
              <w:rPr>
                <w:rFonts w:eastAsiaTheme="minorEastAsia"/>
                <w:sz w:val="20"/>
                <w:szCs w:val="20"/>
              </w:rPr>
              <w:t xml:space="preserve">Tracks % of high risk patients with ED visits who received f/u phone care within 72 hours </w:t>
            </w:r>
          </w:p>
          <w:p w:rsidR="00C32C76" w:rsidRDefault="00C32C76" w:rsidP="00C32C76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C32C76">
              <w:rPr>
                <w:rFonts w:eastAsiaTheme="minorEastAsia"/>
                <w:sz w:val="20"/>
                <w:szCs w:val="20"/>
              </w:rPr>
              <w:t xml:space="preserve">Tracks % of high risk patients who were contacted within 72 hours </w:t>
            </w:r>
          </w:p>
          <w:p w:rsidR="00C20A82" w:rsidRPr="00C32C76" w:rsidRDefault="00C32C76" w:rsidP="00C32C76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  <w:sz w:val="20"/>
                <w:szCs w:val="20"/>
              </w:rPr>
            </w:pPr>
            <w:r w:rsidRPr="00C32C76">
              <w:rPr>
                <w:sz w:val="20"/>
                <w:szCs w:val="20"/>
              </w:rPr>
              <w:t>Submits PDSA to achieve 75% for at least one option (6 and 9 months)</w:t>
            </w:r>
          </w:p>
        </w:tc>
        <w:tc>
          <w:tcPr>
            <w:tcW w:w="3960" w:type="dxa"/>
          </w:tcPr>
          <w:p w:rsidR="008A7444" w:rsidRPr="008A7444" w:rsidRDefault="008A7444" w:rsidP="008A7444">
            <w:pPr>
              <w:spacing w:after="200" w:line="276" w:lineRule="auto"/>
            </w:pPr>
            <w:r w:rsidRPr="008A7444">
              <w:t>Provides report both options:  (1</w:t>
            </w:r>
            <w:r w:rsidRPr="008A7444">
              <w:rPr>
                <w:vertAlign w:val="superscript"/>
              </w:rPr>
              <w:t>st</w:t>
            </w:r>
            <w:r w:rsidRPr="008A7444">
              <w:t xml:space="preserve"> month Year 1) </w:t>
            </w:r>
          </w:p>
          <w:p w:rsidR="008A7444" w:rsidRPr="008A7444" w:rsidRDefault="008A7444" w:rsidP="008A7444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8A7444">
              <w:rPr>
                <w:rFonts w:eastAsiaTheme="minorEastAsia"/>
                <w:sz w:val="20"/>
                <w:szCs w:val="20"/>
              </w:rPr>
              <w:t xml:space="preserve">Tracks % of high risk patients with ED visits who received f/u phone care within 72 hours </w:t>
            </w:r>
          </w:p>
          <w:p w:rsidR="008A7444" w:rsidRPr="008A7444" w:rsidRDefault="008A7444" w:rsidP="008A7444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8A7444">
              <w:rPr>
                <w:rFonts w:eastAsiaTheme="minorEastAsia"/>
                <w:sz w:val="20"/>
                <w:szCs w:val="20"/>
              </w:rPr>
              <w:t xml:space="preserve">Tracks % of high risk patients who were contacted within 72 hours </w:t>
            </w:r>
          </w:p>
          <w:p w:rsidR="00C20A82" w:rsidRPr="00203811" w:rsidRDefault="00C20A82" w:rsidP="008A682C">
            <w:pPr>
              <w:rPr>
                <w:rFonts w:eastAsiaTheme="majorEastAsia" w:cstheme="majorBidi"/>
                <w:b/>
                <w:bCs/>
                <w:sz w:val="19"/>
                <w:szCs w:val="19"/>
              </w:rPr>
            </w:pPr>
          </w:p>
        </w:tc>
      </w:tr>
      <w:tr w:rsidR="00E47B39" w:rsidRPr="00203811" w:rsidTr="00A7741A">
        <w:trPr>
          <w:trHeight w:val="1529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B4874" w:rsidRPr="00203811" w:rsidRDefault="00096F67" w:rsidP="00E34FD0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Quality Reporting</w:t>
            </w:r>
          </w:p>
        </w:tc>
        <w:tc>
          <w:tcPr>
            <w:tcW w:w="4230" w:type="dxa"/>
          </w:tcPr>
          <w:p w:rsidR="00CA1ACC" w:rsidRPr="00CA1ACC" w:rsidRDefault="00CA1ACC" w:rsidP="00CA1ACC">
            <w:pPr>
              <w:spacing w:after="200" w:line="276" w:lineRule="auto"/>
              <w:rPr>
                <w:sz w:val="20"/>
                <w:szCs w:val="20"/>
              </w:rPr>
            </w:pPr>
            <w:r w:rsidRPr="00CA1ACC">
              <w:rPr>
                <w:sz w:val="20"/>
                <w:szCs w:val="20"/>
              </w:rPr>
              <w:t xml:space="preserve">First Required quarterly report (with minimal look back period as defined by CTC quality measurement specifications) </w:t>
            </w:r>
          </w:p>
          <w:p w:rsidR="003B4874" w:rsidRPr="00A7741A" w:rsidRDefault="00CA1ACC" w:rsidP="00A7741A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CA1ACC">
              <w:rPr>
                <w:rFonts w:eastAsiaTheme="minorEastAsia"/>
                <w:sz w:val="20"/>
                <w:szCs w:val="20"/>
              </w:rPr>
              <w:t>Due 6months (15</w:t>
            </w:r>
            <w:r w:rsidRPr="00CA1ACC">
              <w:rPr>
                <w:rFonts w:eastAsiaTheme="minorEastAsia"/>
                <w:sz w:val="20"/>
                <w:szCs w:val="20"/>
                <w:vertAlign w:val="superscript"/>
              </w:rPr>
              <w:t>th</w:t>
            </w:r>
            <w:r w:rsidRPr="00CA1ACC">
              <w:rPr>
                <w:rFonts w:eastAsiaTheme="minorEastAsia"/>
                <w:sz w:val="20"/>
                <w:szCs w:val="20"/>
              </w:rPr>
              <w:t xml:space="preserve"> of month) and quarterly thereafter </w:t>
            </w:r>
          </w:p>
        </w:tc>
        <w:tc>
          <w:tcPr>
            <w:tcW w:w="4230" w:type="dxa"/>
          </w:tcPr>
          <w:p w:rsidR="00330252" w:rsidRPr="001F0F11" w:rsidRDefault="001F0F11" w:rsidP="001F0F11">
            <w:pPr>
              <w:pStyle w:val="ListParagraph"/>
              <w:numPr>
                <w:ilvl w:val="0"/>
                <w:numId w:val="24"/>
              </w:numPr>
              <w:rPr>
                <w:rFonts w:eastAsiaTheme="majorEastAsia" w:cstheme="majorBidi"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Due quarterly</w:t>
            </w:r>
          </w:p>
        </w:tc>
        <w:tc>
          <w:tcPr>
            <w:tcW w:w="3960" w:type="dxa"/>
          </w:tcPr>
          <w:p w:rsidR="00F41A8E" w:rsidRPr="001F0F11" w:rsidRDefault="001F0F11" w:rsidP="001F0F11">
            <w:pPr>
              <w:pStyle w:val="ListParagraph"/>
              <w:numPr>
                <w:ilvl w:val="0"/>
                <w:numId w:val="24"/>
              </w:numPr>
              <w:rPr>
                <w:rFonts w:eastAsiaTheme="majorEastAsia" w:cstheme="majorBidi"/>
                <w:b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Due quarterly</w:t>
            </w:r>
          </w:p>
        </w:tc>
      </w:tr>
      <w:tr w:rsidR="00E47B39" w:rsidRPr="00203811" w:rsidTr="00A7741A">
        <w:trPr>
          <w:trHeight w:val="1952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B4874" w:rsidRPr="00203811" w:rsidRDefault="00DC309C" w:rsidP="00CF0D42">
            <w:pPr>
              <w:rPr>
                <w:b/>
                <w:sz w:val="19"/>
                <w:szCs w:val="19"/>
              </w:rPr>
            </w:pPr>
            <w:r>
              <w:rPr>
                <w:rFonts w:eastAsiaTheme="majorEastAsia" w:cstheme="majorBidi"/>
                <w:b/>
                <w:bCs/>
              </w:rPr>
              <w:lastRenderedPageBreak/>
              <w:t>Patient Centered Medical Home</w:t>
            </w:r>
          </w:p>
        </w:tc>
        <w:tc>
          <w:tcPr>
            <w:tcW w:w="4230" w:type="dxa"/>
          </w:tcPr>
          <w:p w:rsidR="00F11E4E" w:rsidRPr="006D66D2" w:rsidRDefault="00F11E4E" w:rsidP="006D66D2">
            <w:pPr>
              <w:pStyle w:val="ListParagraph"/>
              <w:numPr>
                <w:ilvl w:val="0"/>
                <w:numId w:val="26"/>
              </w:numPr>
              <w:rPr>
                <w:rFonts w:eastAsiaTheme="minorEastAsia"/>
                <w:sz w:val="20"/>
                <w:szCs w:val="20"/>
              </w:rPr>
            </w:pPr>
            <w:r w:rsidRPr="006D66D2">
              <w:rPr>
                <w:rFonts w:eastAsiaTheme="minorEastAsia"/>
                <w:sz w:val="20"/>
                <w:szCs w:val="20"/>
              </w:rPr>
              <w:t xml:space="preserve">Submit work plan for achieving NCQA Level 3 recognition (due 9 months) </w:t>
            </w:r>
          </w:p>
          <w:p w:rsidR="00F11E4E" w:rsidRPr="00F11E4E" w:rsidRDefault="00F11E4E" w:rsidP="00F11E4E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F11E4E">
              <w:rPr>
                <w:rFonts w:eastAsiaTheme="minorEastAsia"/>
                <w:sz w:val="20"/>
                <w:szCs w:val="20"/>
              </w:rPr>
              <w:t xml:space="preserve">Meet with Practice Facilitator at least monthly for practice transformation consultation </w:t>
            </w:r>
            <w:r w:rsidR="00D425BD">
              <w:rPr>
                <w:rFonts w:eastAsiaTheme="minorEastAsia"/>
                <w:sz w:val="20"/>
                <w:szCs w:val="20"/>
              </w:rPr>
              <w:t xml:space="preserve">and together completes self-assessment </w:t>
            </w:r>
          </w:p>
          <w:p w:rsidR="00F11E4E" w:rsidRPr="00F11E4E" w:rsidRDefault="00F11E4E" w:rsidP="00F11E4E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  <w:r w:rsidRPr="00F11E4E">
              <w:rPr>
                <w:rFonts w:eastAsiaTheme="minorEastAsia"/>
                <w:sz w:val="20"/>
                <w:szCs w:val="20"/>
              </w:rPr>
              <w:t xml:space="preserve">Present Best Practice Sharing at requested Committee meeting </w:t>
            </w:r>
          </w:p>
          <w:p w:rsidR="003B4874" w:rsidRPr="00203811" w:rsidRDefault="003B4874" w:rsidP="0005271B">
            <w:pPr>
              <w:rPr>
                <w:rFonts w:eastAsiaTheme="majorEastAsia" w:cstheme="majorBidi"/>
                <w:bCs/>
                <w:sz w:val="19"/>
                <w:szCs w:val="19"/>
              </w:rPr>
            </w:pPr>
          </w:p>
        </w:tc>
        <w:tc>
          <w:tcPr>
            <w:tcW w:w="4230" w:type="dxa"/>
          </w:tcPr>
          <w:p w:rsidR="006D66D2" w:rsidRDefault="006D66D2" w:rsidP="006D66D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13232">
              <w:rPr>
                <w:sz w:val="20"/>
                <w:szCs w:val="20"/>
              </w:rPr>
              <w:t xml:space="preserve">Submit updated work plan for achieving NCQA Level 3 recognition (due 9 months) </w:t>
            </w:r>
          </w:p>
          <w:p w:rsidR="006D66D2" w:rsidRDefault="006D66D2" w:rsidP="006D66D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13232">
              <w:rPr>
                <w:sz w:val="20"/>
                <w:szCs w:val="20"/>
              </w:rPr>
              <w:t>Meet with Practice</w:t>
            </w:r>
            <w:r>
              <w:rPr>
                <w:sz w:val="20"/>
                <w:szCs w:val="20"/>
              </w:rPr>
              <w:t xml:space="preserve"> Facilitator at least every other </w:t>
            </w:r>
            <w:r w:rsidRPr="00813232">
              <w:rPr>
                <w:sz w:val="20"/>
                <w:szCs w:val="20"/>
              </w:rPr>
              <w:t xml:space="preserve"> for practice transformation consultation </w:t>
            </w:r>
          </w:p>
          <w:p w:rsidR="00330252" w:rsidRPr="006D66D2" w:rsidRDefault="006D66D2" w:rsidP="006D66D2">
            <w:pPr>
              <w:pStyle w:val="ListParagraph"/>
              <w:numPr>
                <w:ilvl w:val="0"/>
                <w:numId w:val="25"/>
              </w:numPr>
              <w:rPr>
                <w:rFonts w:eastAsiaTheme="majorEastAsia" w:cstheme="majorBidi"/>
                <w:bCs/>
                <w:sz w:val="19"/>
                <w:szCs w:val="19"/>
              </w:rPr>
            </w:pPr>
            <w:r>
              <w:rPr>
                <w:sz w:val="20"/>
                <w:szCs w:val="20"/>
              </w:rPr>
              <w:t>Present Best Practice Sharing at requested Committee mee3ting</w:t>
            </w:r>
          </w:p>
        </w:tc>
        <w:tc>
          <w:tcPr>
            <w:tcW w:w="3960" w:type="dxa"/>
          </w:tcPr>
          <w:p w:rsidR="005C1DD2" w:rsidRDefault="005C1DD2" w:rsidP="005C1DD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13232">
              <w:rPr>
                <w:sz w:val="20"/>
                <w:szCs w:val="20"/>
              </w:rPr>
              <w:t xml:space="preserve">Achieve Level 3 (3 months prior to end of Year 3) </w:t>
            </w:r>
          </w:p>
          <w:p w:rsidR="005C1DD2" w:rsidRDefault="005C1DD2" w:rsidP="005C1DD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with Practice Facilitator at least quarterly for practice transformation consultation </w:t>
            </w:r>
          </w:p>
          <w:p w:rsidR="005C1DD2" w:rsidRPr="00813232" w:rsidRDefault="005C1DD2" w:rsidP="005C1DD2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at Best Practice Sharing at requested Committee meeting </w:t>
            </w:r>
          </w:p>
          <w:p w:rsidR="00F41A8E" w:rsidRPr="005C1DD2" w:rsidRDefault="00F41A8E" w:rsidP="005C1DD2">
            <w:pPr>
              <w:ind w:left="360"/>
              <w:rPr>
                <w:rFonts w:eastAsiaTheme="majorEastAsia" w:cstheme="majorBidi"/>
                <w:b/>
                <w:bCs/>
                <w:sz w:val="19"/>
                <w:szCs w:val="19"/>
              </w:rPr>
            </w:pPr>
          </w:p>
        </w:tc>
      </w:tr>
      <w:tr w:rsidR="00ED0E00" w:rsidRPr="00203811" w:rsidTr="00A7741A">
        <w:tc>
          <w:tcPr>
            <w:tcW w:w="2628" w:type="dxa"/>
            <w:tcBorders>
              <w:top w:val="single" w:sz="4" w:space="0" w:color="auto"/>
            </w:tcBorders>
          </w:tcPr>
          <w:p w:rsidR="00ED0E00" w:rsidRPr="00203811" w:rsidRDefault="00ED0E00" w:rsidP="00CA610F">
            <w:pPr>
              <w:rPr>
                <w:b/>
                <w:sz w:val="19"/>
                <w:szCs w:val="19"/>
              </w:rPr>
            </w:pPr>
            <w:r w:rsidRPr="00203811">
              <w:rPr>
                <w:b/>
                <w:sz w:val="19"/>
                <w:szCs w:val="19"/>
              </w:rPr>
              <w:t>Learning Network</w:t>
            </w:r>
            <w:r w:rsidR="00A65A3D" w:rsidRPr="00203811">
              <w:rPr>
                <w:b/>
                <w:sz w:val="19"/>
                <w:szCs w:val="19"/>
              </w:rPr>
              <w:t>s</w:t>
            </w:r>
            <w:r w:rsidRPr="00203811">
              <w:rPr>
                <w:b/>
                <w:sz w:val="19"/>
                <w:szCs w:val="19"/>
              </w:rPr>
              <w:t>:</w:t>
            </w:r>
          </w:p>
          <w:p w:rsidR="00ED0E00" w:rsidRPr="00203811" w:rsidRDefault="00ED0E00" w:rsidP="00CA610F">
            <w:pPr>
              <w:rPr>
                <w:sz w:val="19"/>
                <w:szCs w:val="19"/>
              </w:rPr>
            </w:pPr>
          </w:p>
          <w:p w:rsidR="00ED0E00" w:rsidRDefault="00ED0E00" w:rsidP="00CA610F">
            <w:pPr>
              <w:rPr>
                <w:sz w:val="19"/>
                <w:szCs w:val="19"/>
              </w:rPr>
            </w:pPr>
            <w:r w:rsidRPr="00203811">
              <w:rPr>
                <w:sz w:val="19"/>
                <w:szCs w:val="19"/>
              </w:rPr>
              <w:t xml:space="preserve">Orientation </w:t>
            </w:r>
          </w:p>
          <w:p w:rsidR="0005271B" w:rsidRDefault="0005271B" w:rsidP="00CA61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Best Practice Committee meetings </w:t>
            </w:r>
          </w:p>
          <w:p w:rsidR="0005271B" w:rsidRDefault="0005271B" w:rsidP="00CA61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Breakfast for Champions </w:t>
            </w:r>
          </w:p>
          <w:p w:rsidR="0005271B" w:rsidRPr="00203811" w:rsidRDefault="0005271B" w:rsidP="00CA610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Learning </w:t>
            </w:r>
            <w:r w:rsidR="00A7741A">
              <w:rPr>
                <w:sz w:val="19"/>
                <w:szCs w:val="19"/>
              </w:rPr>
              <w:t>Collaborative</w:t>
            </w:r>
            <w:r>
              <w:rPr>
                <w:sz w:val="19"/>
                <w:szCs w:val="19"/>
              </w:rPr>
              <w:t xml:space="preserve"> </w:t>
            </w:r>
          </w:p>
          <w:p w:rsidR="00ED0E00" w:rsidRPr="00203811" w:rsidRDefault="00ED0E00" w:rsidP="00CA610F">
            <w:pPr>
              <w:rPr>
                <w:sz w:val="19"/>
                <w:szCs w:val="19"/>
              </w:rPr>
            </w:pPr>
          </w:p>
        </w:tc>
        <w:tc>
          <w:tcPr>
            <w:tcW w:w="4230" w:type="dxa"/>
          </w:tcPr>
          <w:p w:rsidR="008924B6" w:rsidRDefault="00A7741A" w:rsidP="0005271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Notes: </w:t>
            </w:r>
            <w:r w:rsidR="008924B6">
              <w:rPr>
                <w:b/>
                <w:sz w:val="19"/>
                <w:szCs w:val="19"/>
              </w:rPr>
              <w:t>CPCI</w:t>
            </w:r>
          </w:p>
          <w:p w:rsidR="00D425BD" w:rsidRPr="008924B6" w:rsidRDefault="00D425BD" w:rsidP="0005271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Meets 100% requirements with exception of risk stratification of entire population.  This will be done through APCD but does not provide patient specific information</w:t>
            </w:r>
            <w:r w:rsidR="008924B6">
              <w:rPr>
                <w:sz w:val="19"/>
                <w:szCs w:val="19"/>
              </w:rPr>
              <w:t xml:space="preserve">; may be an option through work being done by SIM/RIQI clinical dashboard if entire patient panel was included </w:t>
            </w:r>
          </w:p>
        </w:tc>
        <w:tc>
          <w:tcPr>
            <w:tcW w:w="4230" w:type="dxa"/>
          </w:tcPr>
          <w:p w:rsidR="008924B6" w:rsidRDefault="008924B6" w:rsidP="0005271B">
            <w:pPr>
              <w:rPr>
                <w:b/>
                <w:sz w:val="19"/>
                <w:szCs w:val="19"/>
              </w:rPr>
            </w:pPr>
            <w:r w:rsidRPr="00A7741A">
              <w:rPr>
                <w:b/>
                <w:sz w:val="19"/>
                <w:szCs w:val="19"/>
              </w:rPr>
              <w:t>Notes</w:t>
            </w:r>
            <w:r>
              <w:rPr>
                <w:b/>
                <w:sz w:val="19"/>
                <w:szCs w:val="19"/>
              </w:rPr>
              <w:t>: OHIC</w:t>
            </w:r>
            <w:r w:rsidR="00D425BD">
              <w:rPr>
                <w:b/>
                <w:sz w:val="19"/>
                <w:szCs w:val="19"/>
              </w:rPr>
              <w:t xml:space="preserve">: </w:t>
            </w:r>
          </w:p>
          <w:p w:rsidR="00D425BD" w:rsidRPr="008924B6" w:rsidRDefault="00D425BD" w:rsidP="0005271B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Meets 100% of OHIC functions</w:t>
            </w:r>
            <w:r w:rsidR="008924B6">
              <w:rPr>
                <w:sz w:val="19"/>
                <w:szCs w:val="19"/>
              </w:rPr>
              <w:t xml:space="preserve"> when one considers 80% requirement </w:t>
            </w:r>
          </w:p>
        </w:tc>
        <w:tc>
          <w:tcPr>
            <w:tcW w:w="3960" w:type="dxa"/>
          </w:tcPr>
          <w:p w:rsidR="00623841" w:rsidRDefault="00A7741A" w:rsidP="00AC1B33">
            <w:pPr>
              <w:rPr>
                <w:rFonts w:eastAsiaTheme="majorEastAsia" w:cstheme="majorBidi"/>
                <w:b/>
                <w:bCs/>
                <w:sz w:val="19"/>
                <w:szCs w:val="19"/>
              </w:rPr>
            </w:pPr>
            <w:r>
              <w:rPr>
                <w:rFonts w:eastAsiaTheme="majorEastAsia" w:cstheme="majorBidi"/>
                <w:b/>
                <w:bCs/>
                <w:sz w:val="19"/>
                <w:szCs w:val="19"/>
              </w:rPr>
              <w:t xml:space="preserve">Notes: </w:t>
            </w:r>
            <w:r w:rsidR="008924B6">
              <w:rPr>
                <w:rFonts w:eastAsiaTheme="majorEastAsia" w:cstheme="majorBidi"/>
                <w:b/>
                <w:bCs/>
                <w:sz w:val="19"/>
                <w:szCs w:val="19"/>
              </w:rPr>
              <w:t xml:space="preserve">TCPI: </w:t>
            </w:r>
          </w:p>
          <w:p w:rsidR="008924B6" w:rsidRDefault="008924B6" w:rsidP="00AC1B33">
            <w:pPr>
              <w:rPr>
                <w:rFonts w:eastAsiaTheme="majorEastAsia" w:cstheme="majorBidi"/>
                <w:bCs/>
                <w:sz w:val="19"/>
                <w:szCs w:val="19"/>
              </w:rPr>
            </w:pPr>
            <w:r>
              <w:rPr>
                <w:rFonts w:eastAsiaTheme="majorEastAsia" w:cstheme="majorBidi"/>
                <w:bCs/>
                <w:sz w:val="19"/>
                <w:szCs w:val="19"/>
              </w:rPr>
              <w:t xml:space="preserve">Meets requirements with exception of reducing unnecessary tests and hospitalizations by 20%; shared care plan may be option through work being done by RIQI; </w:t>
            </w:r>
          </w:p>
          <w:p w:rsidR="008924B6" w:rsidRPr="008924B6" w:rsidRDefault="008924B6" w:rsidP="00AC1B33">
            <w:pPr>
              <w:rPr>
                <w:rFonts w:eastAsiaTheme="majorEastAsia" w:cstheme="majorBidi"/>
                <w:bCs/>
                <w:sz w:val="19"/>
                <w:szCs w:val="19"/>
              </w:rPr>
            </w:pPr>
            <w:r>
              <w:rPr>
                <w:rFonts w:eastAsiaTheme="majorEastAsia" w:cstheme="majorBidi"/>
                <w:bCs/>
                <w:sz w:val="19"/>
                <w:szCs w:val="19"/>
              </w:rPr>
              <w:t xml:space="preserve">There is requirement of practice monthly report that is not met; maybe something that can be done by practice combinations with CTC monthly PF report  </w:t>
            </w:r>
          </w:p>
          <w:p w:rsidR="00623841" w:rsidRPr="00203811" w:rsidRDefault="00623841" w:rsidP="00623841">
            <w:pPr>
              <w:rPr>
                <w:rFonts w:eastAsiaTheme="majorEastAsia" w:cstheme="majorBidi"/>
                <w:sz w:val="19"/>
                <w:szCs w:val="19"/>
              </w:rPr>
            </w:pPr>
          </w:p>
          <w:p w:rsidR="00623841" w:rsidRPr="00203811" w:rsidRDefault="00623841" w:rsidP="00623841">
            <w:pPr>
              <w:rPr>
                <w:rFonts w:eastAsiaTheme="majorEastAsia" w:cstheme="majorBidi"/>
                <w:sz w:val="19"/>
                <w:szCs w:val="19"/>
              </w:rPr>
            </w:pPr>
          </w:p>
          <w:p w:rsidR="00623841" w:rsidRPr="00203811" w:rsidRDefault="00623841" w:rsidP="00623841">
            <w:pPr>
              <w:rPr>
                <w:rFonts w:eastAsiaTheme="majorEastAsia" w:cstheme="majorBidi"/>
                <w:sz w:val="19"/>
                <w:szCs w:val="19"/>
              </w:rPr>
            </w:pPr>
          </w:p>
          <w:p w:rsidR="00ED0E00" w:rsidRPr="00203811" w:rsidRDefault="00ED0E00" w:rsidP="00623841">
            <w:pPr>
              <w:jc w:val="center"/>
              <w:rPr>
                <w:rFonts w:eastAsiaTheme="majorEastAsia" w:cstheme="majorBidi"/>
                <w:sz w:val="19"/>
                <w:szCs w:val="19"/>
              </w:rPr>
            </w:pPr>
          </w:p>
        </w:tc>
      </w:tr>
    </w:tbl>
    <w:p w:rsidR="00381EED" w:rsidRPr="00203811" w:rsidRDefault="00381EED" w:rsidP="005D75E1">
      <w:pPr>
        <w:rPr>
          <w:sz w:val="19"/>
          <w:szCs w:val="19"/>
        </w:rPr>
      </w:pPr>
      <w:bookmarkStart w:id="0" w:name="_GoBack"/>
      <w:bookmarkEnd w:id="0"/>
    </w:p>
    <w:sectPr w:rsidR="00381EED" w:rsidRPr="00203811" w:rsidSect="00680786">
      <w:footerReference w:type="default" r:id="rId9"/>
      <w:pgSz w:w="15840" w:h="12240" w:orient="landscape" w:code="1"/>
      <w:pgMar w:top="9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00" w:rsidRDefault="00CD7C00" w:rsidP="00CB61B9">
      <w:pPr>
        <w:spacing w:after="0" w:line="240" w:lineRule="auto"/>
      </w:pPr>
      <w:r>
        <w:separator/>
      </w:r>
    </w:p>
  </w:endnote>
  <w:endnote w:type="continuationSeparator" w:id="0">
    <w:p w:rsidR="00CD7C00" w:rsidRDefault="00CD7C00" w:rsidP="00CB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930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A6D" w:rsidRDefault="007F4A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4A6D" w:rsidRDefault="007F4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00" w:rsidRDefault="00CD7C00" w:rsidP="00CB61B9">
      <w:pPr>
        <w:spacing w:after="0" w:line="240" w:lineRule="auto"/>
      </w:pPr>
      <w:r>
        <w:separator/>
      </w:r>
    </w:p>
  </w:footnote>
  <w:footnote w:type="continuationSeparator" w:id="0">
    <w:p w:rsidR="00CD7C00" w:rsidRDefault="00CD7C00" w:rsidP="00CB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761"/>
    <w:multiLevelType w:val="hybridMultilevel"/>
    <w:tmpl w:val="5DF0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30F0"/>
    <w:multiLevelType w:val="hybridMultilevel"/>
    <w:tmpl w:val="1570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41B"/>
    <w:multiLevelType w:val="hybridMultilevel"/>
    <w:tmpl w:val="C18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D43AC"/>
    <w:multiLevelType w:val="hybridMultilevel"/>
    <w:tmpl w:val="108C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7049"/>
    <w:multiLevelType w:val="hybridMultilevel"/>
    <w:tmpl w:val="7EC0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66392"/>
    <w:multiLevelType w:val="hybridMultilevel"/>
    <w:tmpl w:val="27A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5E83"/>
    <w:multiLevelType w:val="hybridMultilevel"/>
    <w:tmpl w:val="30E06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16C8"/>
    <w:multiLevelType w:val="hybridMultilevel"/>
    <w:tmpl w:val="4CCC8E24"/>
    <w:lvl w:ilvl="0" w:tplc="0409000B">
      <w:start w:val="1"/>
      <w:numFmt w:val="bullet"/>
      <w:lvlText w:val=""/>
      <w:lvlJc w:val="left"/>
      <w:pPr>
        <w:ind w:left="14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1F47243E"/>
    <w:multiLevelType w:val="hybridMultilevel"/>
    <w:tmpl w:val="427CF2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231B71AE"/>
    <w:multiLevelType w:val="hybridMultilevel"/>
    <w:tmpl w:val="DA46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22238"/>
    <w:multiLevelType w:val="hybridMultilevel"/>
    <w:tmpl w:val="889E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23B8E"/>
    <w:multiLevelType w:val="hybridMultilevel"/>
    <w:tmpl w:val="25C0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B7196"/>
    <w:multiLevelType w:val="hybridMultilevel"/>
    <w:tmpl w:val="6440802C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375F73E7"/>
    <w:multiLevelType w:val="hybridMultilevel"/>
    <w:tmpl w:val="0284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97F80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393D"/>
    <w:multiLevelType w:val="hybridMultilevel"/>
    <w:tmpl w:val="1C4C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D4F7B"/>
    <w:multiLevelType w:val="hybridMultilevel"/>
    <w:tmpl w:val="6DDA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83DAF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11A00"/>
    <w:multiLevelType w:val="hybridMultilevel"/>
    <w:tmpl w:val="0BA6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D6915"/>
    <w:multiLevelType w:val="hybridMultilevel"/>
    <w:tmpl w:val="1C8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5052B"/>
    <w:multiLevelType w:val="hybridMultilevel"/>
    <w:tmpl w:val="411AE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C7B8A"/>
    <w:multiLevelType w:val="hybridMultilevel"/>
    <w:tmpl w:val="7340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D5134"/>
    <w:multiLevelType w:val="hybridMultilevel"/>
    <w:tmpl w:val="11B6C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954CF"/>
    <w:multiLevelType w:val="hybridMultilevel"/>
    <w:tmpl w:val="88A48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0410F"/>
    <w:multiLevelType w:val="hybridMultilevel"/>
    <w:tmpl w:val="28B2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21755"/>
    <w:multiLevelType w:val="hybridMultilevel"/>
    <w:tmpl w:val="94D06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5EA"/>
    <w:multiLevelType w:val="hybridMultilevel"/>
    <w:tmpl w:val="5C1A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26"/>
  </w:num>
  <w:num w:numId="5">
    <w:abstractNumId w:val="14"/>
  </w:num>
  <w:num w:numId="6">
    <w:abstractNumId w:val="3"/>
  </w:num>
  <w:num w:numId="7">
    <w:abstractNumId w:val="18"/>
  </w:num>
  <w:num w:numId="8">
    <w:abstractNumId w:val="20"/>
  </w:num>
  <w:num w:numId="9">
    <w:abstractNumId w:val="1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16"/>
  </w:num>
  <w:num w:numId="17">
    <w:abstractNumId w:val="23"/>
  </w:num>
  <w:num w:numId="18">
    <w:abstractNumId w:val="22"/>
  </w:num>
  <w:num w:numId="19">
    <w:abstractNumId w:val="4"/>
  </w:num>
  <w:num w:numId="20">
    <w:abstractNumId w:val="9"/>
  </w:num>
  <w:num w:numId="21">
    <w:abstractNumId w:val="21"/>
  </w:num>
  <w:num w:numId="22">
    <w:abstractNumId w:val="5"/>
  </w:num>
  <w:num w:numId="23">
    <w:abstractNumId w:val="25"/>
  </w:num>
  <w:num w:numId="24">
    <w:abstractNumId w:val="11"/>
  </w:num>
  <w:num w:numId="25">
    <w:abstractNumId w:val="0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1"/>
    <w:rsid w:val="00010305"/>
    <w:rsid w:val="00023FE7"/>
    <w:rsid w:val="00035957"/>
    <w:rsid w:val="0005271B"/>
    <w:rsid w:val="00081901"/>
    <w:rsid w:val="00096F67"/>
    <w:rsid w:val="000A6F9F"/>
    <w:rsid w:val="000C38E9"/>
    <w:rsid w:val="000C56FE"/>
    <w:rsid w:val="000C5BC4"/>
    <w:rsid w:val="000D4573"/>
    <w:rsid w:val="000D4C27"/>
    <w:rsid w:val="000E3EDB"/>
    <w:rsid w:val="000E5F03"/>
    <w:rsid w:val="0010093F"/>
    <w:rsid w:val="00120847"/>
    <w:rsid w:val="0013402C"/>
    <w:rsid w:val="001615F1"/>
    <w:rsid w:val="00163B90"/>
    <w:rsid w:val="00182DA5"/>
    <w:rsid w:val="00190B3E"/>
    <w:rsid w:val="001F0F11"/>
    <w:rsid w:val="00203811"/>
    <w:rsid w:val="00245154"/>
    <w:rsid w:val="00297D1F"/>
    <w:rsid w:val="002B42F4"/>
    <w:rsid w:val="002C1DFF"/>
    <w:rsid w:val="002F40A0"/>
    <w:rsid w:val="003215E0"/>
    <w:rsid w:val="0032663A"/>
    <w:rsid w:val="00330252"/>
    <w:rsid w:val="0035129C"/>
    <w:rsid w:val="00366E3A"/>
    <w:rsid w:val="00381EED"/>
    <w:rsid w:val="003976CC"/>
    <w:rsid w:val="003A01D8"/>
    <w:rsid w:val="003A20EA"/>
    <w:rsid w:val="003B4874"/>
    <w:rsid w:val="003F3D77"/>
    <w:rsid w:val="003F55B9"/>
    <w:rsid w:val="004150AA"/>
    <w:rsid w:val="00417632"/>
    <w:rsid w:val="00424344"/>
    <w:rsid w:val="00433C78"/>
    <w:rsid w:val="00437372"/>
    <w:rsid w:val="0044075A"/>
    <w:rsid w:val="00465365"/>
    <w:rsid w:val="004967AC"/>
    <w:rsid w:val="004A5FFA"/>
    <w:rsid w:val="004B3D51"/>
    <w:rsid w:val="0050109E"/>
    <w:rsid w:val="005550B8"/>
    <w:rsid w:val="00561F8E"/>
    <w:rsid w:val="00565FDD"/>
    <w:rsid w:val="005662F3"/>
    <w:rsid w:val="00576E2A"/>
    <w:rsid w:val="00590EDB"/>
    <w:rsid w:val="005A2A4F"/>
    <w:rsid w:val="005C1DD2"/>
    <w:rsid w:val="005D75E1"/>
    <w:rsid w:val="005E6082"/>
    <w:rsid w:val="005F6D3D"/>
    <w:rsid w:val="00617BF1"/>
    <w:rsid w:val="00623841"/>
    <w:rsid w:val="006367F2"/>
    <w:rsid w:val="0066394E"/>
    <w:rsid w:val="00667E2D"/>
    <w:rsid w:val="00680786"/>
    <w:rsid w:val="00693052"/>
    <w:rsid w:val="006B0B74"/>
    <w:rsid w:val="006B3C6F"/>
    <w:rsid w:val="006C133B"/>
    <w:rsid w:val="006D66D2"/>
    <w:rsid w:val="006F6F2E"/>
    <w:rsid w:val="00703CF9"/>
    <w:rsid w:val="0075296B"/>
    <w:rsid w:val="00770B7F"/>
    <w:rsid w:val="00790F5C"/>
    <w:rsid w:val="007E7E01"/>
    <w:rsid w:val="007F4A6D"/>
    <w:rsid w:val="007F4F51"/>
    <w:rsid w:val="00873DFA"/>
    <w:rsid w:val="008924B6"/>
    <w:rsid w:val="008A1F96"/>
    <w:rsid w:val="008A682C"/>
    <w:rsid w:val="008A7444"/>
    <w:rsid w:val="008B3AD3"/>
    <w:rsid w:val="008C6826"/>
    <w:rsid w:val="008D0543"/>
    <w:rsid w:val="008E1A32"/>
    <w:rsid w:val="009159E3"/>
    <w:rsid w:val="009556B1"/>
    <w:rsid w:val="0096772E"/>
    <w:rsid w:val="00970725"/>
    <w:rsid w:val="009A4B37"/>
    <w:rsid w:val="009B339A"/>
    <w:rsid w:val="00A30FB5"/>
    <w:rsid w:val="00A43EB4"/>
    <w:rsid w:val="00A61D0E"/>
    <w:rsid w:val="00A65A3D"/>
    <w:rsid w:val="00A7741A"/>
    <w:rsid w:val="00A84ABA"/>
    <w:rsid w:val="00A86D9E"/>
    <w:rsid w:val="00AC1B33"/>
    <w:rsid w:val="00AF0131"/>
    <w:rsid w:val="00B00997"/>
    <w:rsid w:val="00B01131"/>
    <w:rsid w:val="00B13CB6"/>
    <w:rsid w:val="00B140DB"/>
    <w:rsid w:val="00B33332"/>
    <w:rsid w:val="00B43DB4"/>
    <w:rsid w:val="00B448A2"/>
    <w:rsid w:val="00B67912"/>
    <w:rsid w:val="00B85DD5"/>
    <w:rsid w:val="00BB59C2"/>
    <w:rsid w:val="00BF51DB"/>
    <w:rsid w:val="00C0526A"/>
    <w:rsid w:val="00C063C6"/>
    <w:rsid w:val="00C20A82"/>
    <w:rsid w:val="00C32C76"/>
    <w:rsid w:val="00C43190"/>
    <w:rsid w:val="00C508E3"/>
    <w:rsid w:val="00C512B2"/>
    <w:rsid w:val="00C8138B"/>
    <w:rsid w:val="00C83B78"/>
    <w:rsid w:val="00CA1ACC"/>
    <w:rsid w:val="00CA610F"/>
    <w:rsid w:val="00CB61B9"/>
    <w:rsid w:val="00CD7C00"/>
    <w:rsid w:val="00CE7A7D"/>
    <w:rsid w:val="00CF0D42"/>
    <w:rsid w:val="00D16F3E"/>
    <w:rsid w:val="00D16F8D"/>
    <w:rsid w:val="00D425BD"/>
    <w:rsid w:val="00D47D14"/>
    <w:rsid w:val="00DC309C"/>
    <w:rsid w:val="00DF1666"/>
    <w:rsid w:val="00E2706D"/>
    <w:rsid w:val="00E34FD0"/>
    <w:rsid w:val="00E47B39"/>
    <w:rsid w:val="00E47BBB"/>
    <w:rsid w:val="00EA0DB3"/>
    <w:rsid w:val="00EC39CA"/>
    <w:rsid w:val="00ED0E00"/>
    <w:rsid w:val="00ED1E0E"/>
    <w:rsid w:val="00F11E4E"/>
    <w:rsid w:val="00F25B5B"/>
    <w:rsid w:val="00F41A8E"/>
    <w:rsid w:val="00F44A6B"/>
    <w:rsid w:val="00F50B87"/>
    <w:rsid w:val="00F73311"/>
    <w:rsid w:val="00F97906"/>
    <w:rsid w:val="00FB12D4"/>
    <w:rsid w:val="00FB310D"/>
    <w:rsid w:val="00FD2875"/>
    <w:rsid w:val="00FE28BE"/>
    <w:rsid w:val="00FE57FB"/>
    <w:rsid w:val="00FE7C12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885F-D030-460A-BCBC-DF108EEE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Candice</dc:creator>
  <cp:lastModifiedBy>Campbell, Susanne</cp:lastModifiedBy>
  <cp:revision>29</cp:revision>
  <cp:lastPrinted>2016-01-11T20:45:00Z</cp:lastPrinted>
  <dcterms:created xsi:type="dcterms:W3CDTF">2016-02-06T18:05:00Z</dcterms:created>
  <dcterms:modified xsi:type="dcterms:W3CDTF">2016-02-08T20:52:00Z</dcterms:modified>
</cp:coreProperties>
</file>