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CDFF" w14:textId="77777777" w:rsidR="00553B3D" w:rsidRDefault="00553B3D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</w:p>
    <w:p w14:paraId="4A144934" w14:textId="77777777" w:rsidR="005C0D1F" w:rsidRPr="007C50F3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 w:rsidRPr="007C50F3"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 xml:space="preserve">PCMH-Kids Stakeholder </w:t>
      </w:r>
    </w:p>
    <w:p w14:paraId="7E529B15" w14:textId="06E9D534" w:rsidR="00553B3D" w:rsidRPr="00CF5732" w:rsidRDefault="0035730E" w:rsidP="00CF5732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>Minutes</w:t>
      </w:r>
    </w:p>
    <w:p w14:paraId="78020552" w14:textId="77777777" w:rsidR="00AD3458" w:rsidRPr="0090348D" w:rsidRDefault="00AD3458" w:rsidP="00553B3D">
      <w:pPr>
        <w:pStyle w:val="text20ptBL"/>
        <w:spacing w:after="0"/>
        <w:contextualSpacing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103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1900"/>
        <w:gridCol w:w="2970"/>
        <w:gridCol w:w="810"/>
        <w:gridCol w:w="270"/>
        <w:gridCol w:w="3682"/>
        <w:gridCol w:w="2078"/>
        <w:gridCol w:w="1170"/>
        <w:gridCol w:w="1243"/>
      </w:tblGrid>
      <w:tr w:rsidR="00E14897" w:rsidRPr="0090348D" w14:paraId="32F1624A" w14:textId="77777777" w:rsidTr="00347866">
        <w:trPr>
          <w:trHeight w:val="335"/>
          <w:jc w:val="center"/>
        </w:trPr>
        <w:tc>
          <w:tcPr>
            <w:tcW w:w="5850" w:type="dxa"/>
            <w:gridSpan w:val="3"/>
          </w:tcPr>
          <w:p w14:paraId="2E092DA0" w14:textId="6B636772" w:rsidR="005C0D1F" w:rsidRPr="0090348D" w:rsidRDefault="005C0D1F" w:rsidP="008C28DE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 Thursday, </w:t>
            </w:r>
            <w:r w:rsidR="008C28DE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March 2, 2017</w:t>
            </w:r>
          </w:p>
        </w:tc>
        <w:tc>
          <w:tcPr>
            <w:tcW w:w="1080" w:type="dxa"/>
            <w:gridSpan w:val="2"/>
          </w:tcPr>
          <w:p w14:paraId="3128320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6E15489B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2413" w:type="dxa"/>
            <w:gridSpan w:val="2"/>
          </w:tcPr>
          <w:p w14:paraId="418F565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0A9FD6A3" w14:textId="77777777" w:rsidTr="00347866">
        <w:trPr>
          <w:trHeight w:val="585"/>
          <w:jc w:val="center"/>
        </w:trPr>
        <w:tc>
          <w:tcPr>
            <w:tcW w:w="5850" w:type="dxa"/>
            <w:gridSpan w:val="3"/>
          </w:tcPr>
          <w:p w14:paraId="50E52933" w14:textId="4B4E4FD8" w:rsidR="005C0D1F" w:rsidRPr="0090348D" w:rsidRDefault="005C0D1F" w:rsidP="00460066">
            <w:pPr>
              <w:ind w:left="1774" w:hanging="1774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H</w:t>
            </w:r>
            <w:r w:rsidR="00460066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CA, 235 Promenade Street, #500,  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Providence, RI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29ED18B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A7727" w14:textId="77777777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4969BCAE" w14:textId="6449BD5A" w:rsidR="00822C52" w:rsidRPr="0090348D" w:rsidRDefault="005C0D1F" w:rsidP="00822C5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Call-in number</w:t>
            </w:r>
            <w:r w:rsidR="005A2647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0E712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(508) 856-8222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90348D" w:rsidRPr="0090348D">
              <w:rPr>
                <w:rFonts w:asciiTheme="minorHAnsi" w:hAnsiTheme="minorHAnsi" w:cs="Calibri"/>
                <w:bCs w:val="0"/>
                <w:sz w:val="22"/>
                <w:szCs w:val="22"/>
              </w:rPr>
              <w:t>code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0E712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4614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50F68F8" w14:textId="77777777"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2B3AD23A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30147" w:rsidRPr="0090348D" w14:paraId="1D8E397C" w14:textId="77777777" w:rsidTr="00FF4CD3">
        <w:trPr>
          <w:trHeight w:val="413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0F9DD58" w14:textId="77777777" w:rsidR="00E30147" w:rsidRPr="0090348D" w:rsidRDefault="00E30147" w:rsidP="00FF4CD3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D404C" w14:textId="77777777" w:rsidR="00E30147" w:rsidRPr="0090348D" w:rsidRDefault="00E30147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88A0D1" w14:textId="097CEA31" w:rsidR="00E30147" w:rsidRPr="0090348D" w:rsidRDefault="00E30147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Attendees</w:t>
            </w:r>
          </w:p>
        </w:tc>
      </w:tr>
      <w:tr w:rsidR="00E30147" w:rsidRPr="0090348D" w14:paraId="779ACCAB" w14:textId="77777777" w:rsidTr="00CB50C8">
        <w:trPr>
          <w:trHeight w:hRule="exact" w:val="484"/>
          <w:jc w:val="center"/>
        </w:trPr>
        <w:tc>
          <w:tcPr>
            <w:tcW w:w="6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6D" w14:textId="4A405C71" w:rsidR="00E30147" w:rsidRPr="0090348D" w:rsidRDefault="00E30147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</w:p>
          <w:p w14:paraId="589CD071" w14:textId="77777777" w:rsidR="00E30147" w:rsidRPr="0090348D" w:rsidRDefault="00E30147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22EF3465" w14:textId="29E62E06" w:rsidR="00E30147" w:rsidRDefault="00E30147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14:paraId="430B6DD1" w14:textId="454977C1" w:rsidR="00E30147" w:rsidRDefault="00E30147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2015 </w:t>
            </w:r>
            <w:r w:rsidR="00D93FCA">
              <w:rPr>
                <w:rFonts w:asciiTheme="minorHAnsi" w:hAnsiTheme="minorHAnsi" w:cs="Calibri"/>
              </w:rPr>
              <w:t>PCMH-</w:t>
            </w:r>
            <w:r>
              <w:rPr>
                <w:rFonts w:asciiTheme="minorHAnsi" w:hAnsiTheme="minorHAnsi" w:cs="Calibri"/>
              </w:rPr>
              <w:t xml:space="preserve">Kids Application </w:t>
            </w:r>
          </w:p>
          <w:p w14:paraId="0E1685C1" w14:textId="6A493B69" w:rsidR="00E30147" w:rsidRDefault="00E30147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Screening to Succeed Presentation</w:t>
            </w:r>
          </w:p>
          <w:p w14:paraId="04563A37" w14:textId="77777777" w:rsidR="00E30147" w:rsidRDefault="00E30147" w:rsidP="00AD3458">
            <w:pPr>
              <w:contextualSpacing/>
              <w:rPr>
                <w:rFonts w:asciiTheme="minorHAnsi" w:hAnsiTheme="minorHAnsi" w:cs="Calibri"/>
              </w:rPr>
            </w:pPr>
          </w:p>
          <w:p w14:paraId="12F56508" w14:textId="3449CC59" w:rsidR="00E30147" w:rsidRPr="00AD3458" w:rsidRDefault="00E30147" w:rsidP="00AD3458">
            <w:pPr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9F8C" w14:textId="77777777" w:rsidR="00E30147" w:rsidRPr="0090348D" w:rsidRDefault="00E30147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21B49" w14:textId="77777777" w:rsidR="00E30147" w:rsidRPr="001F1AA3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F1AA3">
              <w:rPr>
                <w:rFonts w:asciiTheme="minorHAnsi" w:hAnsiTheme="minorHAnsi" w:cs="Calibri"/>
                <w:bCs/>
                <w:sz w:val="22"/>
                <w:szCs w:val="22"/>
              </w:rPr>
              <w:t>Patricia Flanagan, Co-Chair</w:t>
            </w:r>
          </w:p>
          <w:p w14:paraId="0ABDB0D1" w14:textId="77777777" w:rsidR="00E30147" w:rsidRPr="001F1AA3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F1AA3">
              <w:rPr>
                <w:rFonts w:asciiTheme="minorHAnsi" w:hAnsiTheme="minorHAnsi" w:cs="Calibri"/>
                <w:bCs/>
                <w:sz w:val="22"/>
                <w:szCs w:val="22"/>
              </w:rPr>
              <w:t>Elizabeth Lange, Co-Chair</w:t>
            </w:r>
          </w:p>
          <w:p w14:paraId="2A34E79E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Laura Adams </w:t>
            </w:r>
          </w:p>
          <w:p w14:paraId="4AA659E3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Nathan Beraha</w:t>
            </w:r>
          </w:p>
          <w:p w14:paraId="6AD329DC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Blythe Berger</w:t>
            </w:r>
          </w:p>
          <w:p w14:paraId="0559685C" w14:textId="52053F94" w:rsidR="00481889" w:rsidRDefault="00481889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Gary Bliss</w:t>
            </w:r>
          </w:p>
          <w:p w14:paraId="3E1CB293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Michele Brown</w:t>
            </w:r>
          </w:p>
          <w:p w14:paraId="11719C9E" w14:textId="3E0CFA01" w:rsidR="00930C7B" w:rsidRPr="00930C7B" w:rsidRDefault="00930C7B" w:rsidP="00E30147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L.ibby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Bunzli </w:t>
            </w:r>
          </w:p>
          <w:p w14:paraId="6DFB92E2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Susanne Campbell </w:t>
            </w:r>
          </w:p>
          <w:p w14:paraId="6F71D766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Ailis Clyne</w:t>
            </w:r>
          </w:p>
          <w:p w14:paraId="2F9528F0" w14:textId="085044CD" w:rsidR="00CF5554" w:rsidRDefault="00CF5554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Elizabeth Dennigan</w:t>
            </w:r>
          </w:p>
          <w:p w14:paraId="7D61587D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Emily Eisenstein</w:t>
            </w:r>
          </w:p>
          <w:p w14:paraId="11F26A2E" w14:textId="02599E1E" w:rsidR="003D1485" w:rsidRDefault="00E30147" w:rsidP="003D1485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Brianna Goddard</w:t>
            </w:r>
          </w:p>
          <w:p w14:paraId="23703D53" w14:textId="77777777" w:rsidR="003D1485" w:rsidRDefault="003D1485" w:rsidP="003D1485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Timothy Fornaro</w:t>
            </w:r>
          </w:p>
          <w:p w14:paraId="189EEFB8" w14:textId="77777777" w:rsidR="002378AA" w:rsidRDefault="002378AA" w:rsidP="002378AA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 Garneau</w:t>
            </w:r>
          </w:p>
          <w:p w14:paraId="55C2BA68" w14:textId="626C360A" w:rsidR="00E30147" w:rsidRDefault="00E30147" w:rsidP="004E54F2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4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BB53B" w14:textId="7BE1F22C" w:rsidR="00847C1D" w:rsidRDefault="00847C1D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Brianna Goddard</w:t>
            </w:r>
          </w:p>
          <w:p w14:paraId="5A4A1A3D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>Deb Golding</w:t>
            </w:r>
          </w:p>
          <w:p w14:paraId="57B75718" w14:textId="5B36EA82" w:rsidR="0067554B" w:rsidRDefault="0067554B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C7FEE">
              <w:rPr>
                <w:rFonts w:asciiTheme="minorHAnsi" w:hAnsiTheme="minorHAnsi" w:cs="Calibri"/>
                <w:bCs/>
                <w:sz w:val="22"/>
                <w:szCs w:val="22"/>
              </w:rPr>
              <w:t>Andree Heinl</w:t>
            </w:r>
          </w:p>
          <w:p w14:paraId="1B9557A1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William Hollinshead</w:t>
            </w:r>
          </w:p>
          <w:p w14:paraId="2E64E669" w14:textId="6FE81538" w:rsidR="00481889" w:rsidRDefault="00481889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Catherine Hunter</w:t>
            </w:r>
          </w:p>
          <w:p w14:paraId="4B4F7555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Debra Hurwitz</w:t>
            </w:r>
          </w:p>
          <w:p w14:paraId="7F06F3D1" w14:textId="48C4A019" w:rsidR="00930C7B" w:rsidRDefault="00930C7B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Corey King</w:t>
            </w:r>
          </w:p>
          <w:p w14:paraId="75D3EEAE" w14:textId="3DF031E9" w:rsidR="00815ACB" w:rsidRDefault="00815ACB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Tanja Kubas-Meyer</w:t>
            </w:r>
          </w:p>
          <w:p w14:paraId="42552069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Debra Lobato</w:t>
            </w:r>
          </w:p>
          <w:p w14:paraId="56C93083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Jason Lyon</w:t>
            </w:r>
          </w:p>
          <w:p w14:paraId="68F45B7E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>Chris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topher</w:t>
            </w: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Ottiano</w:t>
            </w:r>
          </w:p>
          <w:p w14:paraId="0166EB23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Colleen Polselli</w:t>
            </w:r>
          </w:p>
          <w:p w14:paraId="403EFF93" w14:textId="4BDF7900" w:rsidR="002C6015" w:rsidRDefault="002C6015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Marie Palumbo-Hayes</w:t>
            </w:r>
          </w:p>
          <w:p w14:paraId="02A20FB2" w14:textId="77777777" w:rsidR="00E30147" w:rsidRDefault="00E30147" w:rsidP="00E30147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Rena Sheehan</w:t>
            </w:r>
          </w:p>
          <w:p w14:paraId="22E99F8E" w14:textId="0EF0506B" w:rsidR="00E30147" w:rsidRPr="0090348D" w:rsidRDefault="00E30147" w:rsidP="00DC75F0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30147" w:rsidRPr="0090348D" w14:paraId="4CEC609B" w14:textId="77777777" w:rsidTr="00CB50C8">
        <w:trPr>
          <w:trHeight w:hRule="exact" w:val="3628"/>
          <w:jc w:val="center"/>
        </w:trPr>
        <w:tc>
          <w:tcPr>
            <w:tcW w:w="6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445" w14:textId="22C1B2C5" w:rsidR="00E30147" w:rsidRPr="0090348D" w:rsidRDefault="00E30147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4031" w14:textId="77777777" w:rsidR="00E30147" w:rsidRPr="0090348D" w:rsidRDefault="00E30147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CCF" w14:textId="77777777" w:rsidR="00E30147" w:rsidRPr="0090348D" w:rsidRDefault="00E30147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952" w14:textId="17A3FE33" w:rsidR="00E30147" w:rsidRPr="0090348D" w:rsidRDefault="00E30147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5A1EAD2A" w14:textId="77777777" w:rsidTr="008F0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tblHeader/>
          <w:jc w:val="center"/>
        </w:trPr>
        <w:tc>
          <w:tcPr>
            <w:tcW w:w="15103" w:type="dxa"/>
            <w:gridSpan w:val="9"/>
            <w:shd w:val="pct10" w:color="auto" w:fill="FFFFFF"/>
          </w:tcPr>
          <w:p w14:paraId="2342F0DA" w14:textId="77777777"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14:paraId="7BE8B928" w14:textId="77777777" w:rsidTr="0092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980" w:type="dxa"/>
          </w:tcPr>
          <w:p w14:paraId="65E61985" w14:textId="77777777" w:rsidR="005C0D1F" w:rsidRPr="00A922D5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  Item #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00" w:type="dxa"/>
          </w:tcPr>
          <w:p w14:paraId="476DE76C" w14:textId="77777777" w:rsidR="005C0D1F" w:rsidRPr="00A922D5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Owner</w:t>
            </w:r>
            <w:r w:rsidR="00347866" w:rsidRPr="00A922D5">
              <w:rPr>
                <w:rFonts w:asciiTheme="minorHAnsi" w:hAnsiTheme="minorHAnsi" w:cs="Calibri"/>
                <w:sz w:val="24"/>
                <w:szCs w:val="24"/>
              </w:rPr>
              <w:t>/Time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10980" w:type="dxa"/>
            <w:gridSpan w:val="6"/>
          </w:tcPr>
          <w:p w14:paraId="5E53E77C" w14:textId="77777777" w:rsidR="005C0D1F" w:rsidRPr="00A922D5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Comments</w:t>
            </w:r>
          </w:p>
        </w:tc>
        <w:tc>
          <w:tcPr>
            <w:tcW w:w="1243" w:type="dxa"/>
          </w:tcPr>
          <w:p w14:paraId="53E4644D" w14:textId="77777777" w:rsidR="005C0D1F" w:rsidRPr="00A922D5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Action #</w:t>
            </w:r>
          </w:p>
        </w:tc>
      </w:tr>
      <w:tr w:rsidR="00E14897" w:rsidRPr="0090348D" w14:paraId="53DA9A15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2A1435E8" w14:textId="0B87A325" w:rsidR="005C0D1F" w:rsidRPr="00A922D5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A6509A"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14:paraId="6BE1B837" w14:textId="5C681191" w:rsidR="00047DC8" w:rsidRPr="00A922D5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795313"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 Lange</w:t>
            </w:r>
          </w:p>
          <w:p w14:paraId="4D6514C2" w14:textId="1F76C424" w:rsidR="00047DC8" w:rsidRPr="00A922D5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="00795313"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 Flanagan</w:t>
            </w:r>
          </w:p>
          <w:p w14:paraId="44963427" w14:textId="62AAE1DC" w:rsidR="005C0D1F" w:rsidRPr="00A922D5" w:rsidRDefault="00D21B5D" w:rsidP="00B255D6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5 </w:t>
            </w:r>
            <w:r w:rsidR="00B255D6" w:rsidRPr="00A922D5">
              <w:rPr>
                <w:rFonts w:asciiTheme="minorHAnsi" w:hAnsiTheme="minorHAnsi" w:cs="Calibri"/>
                <w:sz w:val="24"/>
                <w:szCs w:val="24"/>
              </w:rPr>
              <w:t>m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t>inutes</w:t>
            </w:r>
          </w:p>
        </w:tc>
        <w:tc>
          <w:tcPr>
            <w:tcW w:w="10980" w:type="dxa"/>
            <w:gridSpan w:val="6"/>
          </w:tcPr>
          <w:p w14:paraId="515B94E2" w14:textId="4387C45C" w:rsidR="005C0D1F" w:rsidRPr="00A922D5" w:rsidRDefault="00D21B5D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Introduction </w:t>
            </w:r>
            <w:r w:rsidR="00DC393F"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and Review of Agenda</w:t>
            </w:r>
          </w:p>
        </w:tc>
        <w:tc>
          <w:tcPr>
            <w:tcW w:w="1243" w:type="dxa"/>
            <w:vAlign w:val="center"/>
          </w:tcPr>
          <w:p w14:paraId="416B7E57" w14:textId="77777777" w:rsidR="005C0D1F" w:rsidRPr="00A922D5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63C97" w:rsidRPr="0090348D" w14:paraId="09911124" w14:textId="77777777" w:rsidTr="00B51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980" w:type="dxa"/>
          </w:tcPr>
          <w:p w14:paraId="1B3900B6" w14:textId="1D4B4183" w:rsidR="00663C97" w:rsidRPr="00A922D5" w:rsidRDefault="00663C97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14:paraId="3094E290" w14:textId="77777777" w:rsidR="00663C97" w:rsidRPr="00A922D5" w:rsidRDefault="00663C97" w:rsidP="00047DC8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All</w:t>
            </w:r>
          </w:p>
          <w:p w14:paraId="74DD1936" w14:textId="41ECC895" w:rsidR="00663C97" w:rsidRPr="00A922D5" w:rsidRDefault="00ED7B15" w:rsidP="00047DC8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5</w:t>
            </w:r>
            <w:r w:rsidR="00663C97" w:rsidRPr="00A922D5">
              <w:rPr>
                <w:rFonts w:asciiTheme="minorHAnsi" w:hAnsiTheme="minorHAnsi" w:cs="Calibri"/>
                <w:sz w:val="24"/>
                <w:szCs w:val="24"/>
              </w:rPr>
              <w:t xml:space="preserve"> minutes</w:t>
            </w:r>
          </w:p>
        </w:tc>
        <w:tc>
          <w:tcPr>
            <w:tcW w:w="10980" w:type="dxa"/>
            <w:gridSpan w:val="6"/>
          </w:tcPr>
          <w:p w14:paraId="3699AB93" w14:textId="2062D2EC" w:rsidR="00663C97" w:rsidRPr="00A922D5" w:rsidRDefault="00663C97" w:rsidP="00663C97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A922D5">
              <w:rPr>
                <w:rFonts w:asciiTheme="minorHAnsi" w:hAnsiTheme="minorHAnsi" w:cs="Calibri"/>
                <w:b/>
                <w:bCs/>
              </w:rPr>
              <w:t xml:space="preserve">2017 </w:t>
            </w:r>
            <w:r w:rsidRPr="00A922D5">
              <w:rPr>
                <w:rFonts w:asciiTheme="minorHAnsi" w:hAnsiTheme="minorHAnsi" w:cs="Calibri"/>
                <w:b/>
                <w:bCs/>
              </w:rPr>
              <w:t>Expansion Updates</w:t>
            </w:r>
          </w:p>
          <w:p w14:paraId="62E6D41F" w14:textId="77777777" w:rsidR="0028010C" w:rsidRPr="00A922D5" w:rsidRDefault="0081537D" w:rsidP="00C36898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Dr. Pat Flanagan opened up the meeting to the group to get an idea from the </w:t>
            </w:r>
            <w:r w:rsidR="00C3689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current PCMH-Kids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practices on lessons l</w:t>
            </w:r>
            <w:r w:rsidR="00663C97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earned from </w:t>
            </w:r>
            <w:r w:rsidR="00C3689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</w:t>
            </w:r>
            <w:r w:rsidR="00663C97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previous expansion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and next steps for the upcoming 2017 </w:t>
            </w:r>
            <w:r w:rsidR="000B59DE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PCMH-Kids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expansion that is slated for July.</w:t>
            </w:r>
            <w:r w:rsidR="000D5AE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</w:t>
            </w:r>
          </w:p>
          <w:p w14:paraId="360DCAF2" w14:textId="49D1AE71" w:rsidR="0028010C" w:rsidRPr="00A922D5" w:rsidRDefault="0028010C" w:rsidP="0028010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As we continue to work on developing the 2017 pediatric expansion application, if current PCMH-Kids practices</w:t>
            </w:r>
            <w:r w:rsidR="00C24BB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or anyone else that in interested in the expansion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could please review the application and provide feedback, it would be greatly appreciated.</w:t>
            </w:r>
          </w:p>
          <w:p w14:paraId="502A6647" w14:textId="16D64B27" w:rsidR="00C36898" w:rsidRPr="00A922D5" w:rsidRDefault="00C36898" w:rsidP="0028010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This feedback is important as we work on the strategy and outreach to bring on new </w:t>
            </w:r>
            <w:r w:rsidR="00CC7C44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pediatric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lastRenderedPageBreak/>
              <w:t>practices</w:t>
            </w:r>
            <w:r w:rsidR="00DA692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.</w:t>
            </w:r>
          </w:p>
          <w:p w14:paraId="611D1750" w14:textId="5134466D" w:rsidR="008A2DFE" w:rsidRPr="00A922D5" w:rsidRDefault="000D5AE0" w:rsidP="00B515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In addition, </w:t>
            </w:r>
            <w:r w:rsidR="00C3689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she </w:t>
            </w:r>
            <w:r w:rsidR="00546E2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asked that the representatives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attending from the Office of the Health Insurance Commissioner (OHIC)</w:t>
            </w:r>
            <w:r w:rsidR="00546E2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to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discuss </w:t>
            </w:r>
            <w:r w:rsidR="00546E2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</w:t>
            </w:r>
            <w:r w:rsidR="00000DF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decisions made around </w:t>
            </w:r>
            <w:r w:rsidR="00546E2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expansion eligibility</w:t>
            </w:r>
            <w:r w:rsidR="005E59C6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and </w:t>
            </w:r>
            <w:r w:rsidR="00181A8B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 Accountable Care Organizations (</w:t>
            </w:r>
            <w:r w:rsidR="005E59C6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ACO</w:t>
            </w:r>
            <w:r w:rsidR="00181A8B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)</w:t>
            </w:r>
            <w:r w:rsidR="005E59C6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involvement.</w:t>
            </w:r>
            <w:r w:rsidR="00546E2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14:paraId="7D5861AF" w14:textId="77777777" w:rsidR="00663C97" w:rsidRPr="00A922D5" w:rsidRDefault="00D714E0" w:rsidP="00D714E0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14:paraId="5251F3F1" w14:textId="77777777" w:rsidR="00D714E0" w:rsidRPr="00A922D5" w:rsidRDefault="00D714E0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D083B52" w14:textId="77777777" w:rsidR="00D714E0" w:rsidRPr="00A922D5" w:rsidRDefault="00D714E0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FD8794E" w14:textId="77777777" w:rsidR="00D714E0" w:rsidRPr="00A922D5" w:rsidRDefault="00D714E0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B267E0" w14:textId="77777777" w:rsidR="00D714E0" w:rsidRPr="00A922D5" w:rsidRDefault="00D714E0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4144B14" w14:textId="77777777" w:rsidR="00D714E0" w:rsidRPr="00A922D5" w:rsidRDefault="00D714E0" w:rsidP="00D714E0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0937" w:rsidRPr="0090348D" w14:paraId="7F48A1C0" w14:textId="77777777" w:rsidTr="0052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980" w:type="dxa"/>
          </w:tcPr>
          <w:p w14:paraId="4570BACC" w14:textId="4A2F6D18" w:rsidR="00CC0937" w:rsidRPr="00A922D5" w:rsidRDefault="00663C97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lastRenderedPageBreak/>
              <w:t>3.</w:t>
            </w:r>
            <w:r w:rsidR="00F516CF" w:rsidRPr="00A922D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14:paraId="42EA9144" w14:textId="77777777" w:rsidR="00F516CF" w:rsidRPr="00A922D5" w:rsidRDefault="00F516CF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C. King </w:t>
            </w:r>
          </w:p>
          <w:p w14:paraId="5D44D43A" w14:textId="77777777" w:rsidR="00F516CF" w:rsidRPr="00A922D5" w:rsidRDefault="00F516CF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 xml:space="preserve">L. Bunzli </w:t>
            </w:r>
          </w:p>
          <w:p w14:paraId="10BB06F1" w14:textId="0D8D3A80" w:rsidR="00F516CF" w:rsidRPr="00A922D5" w:rsidRDefault="00ED7B15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30</w:t>
            </w:r>
            <w:r w:rsidR="00F516CF" w:rsidRPr="00A922D5">
              <w:rPr>
                <w:rFonts w:asciiTheme="minorHAnsi" w:hAnsiTheme="minorHAnsi" w:cs="Calibri"/>
                <w:sz w:val="24"/>
                <w:szCs w:val="24"/>
              </w:rPr>
              <w:t xml:space="preserve"> minutes </w:t>
            </w:r>
          </w:p>
        </w:tc>
        <w:tc>
          <w:tcPr>
            <w:tcW w:w="10980" w:type="dxa"/>
            <w:gridSpan w:val="6"/>
          </w:tcPr>
          <w:p w14:paraId="3E3E8BCA" w14:textId="57E2B878" w:rsidR="00307B54" w:rsidRPr="00A922D5" w:rsidRDefault="00307B54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OHIC </w:t>
            </w:r>
            <w:r w:rsidR="00FB2309"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Pediatric </w:t>
            </w: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Expansion Updates</w:t>
            </w:r>
          </w:p>
          <w:p w14:paraId="008587AC" w14:textId="71FC5478" w:rsidR="00307B54" w:rsidRPr="00A922D5" w:rsidRDefault="008A2DFE" w:rsidP="00804BFF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Corey </w:t>
            </w:r>
            <w:r w:rsidR="00BA130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King f</w:t>
            </w:r>
            <w:r w:rsidR="00284AC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rom OHIC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started the expansion discussion by getting a better understanding of how familiar the stakeholder meeting attendees were with the expansion discussions that have been occurring around practice eligibility for CTC-RI and PCMH-Kids.</w:t>
            </w:r>
          </w:p>
          <w:p w14:paraId="49BC8343" w14:textId="6D763F06" w:rsidR="00AE4EF8" w:rsidRPr="00A922D5" w:rsidRDefault="006F0DFF" w:rsidP="00804BFF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Starting last fall, OHIC and CTC-RI began having discussions around a 2017 expansion to include 18 adult and 10 pediatric practices.</w:t>
            </w:r>
            <w:r w:rsidR="003D26A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There was some feedback from the health plans regarding practices that were affiliated with ACOs or a larger health system (i.e. Integra, Lifespan, </w:t>
            </w:r>
            <w:r w:rsidR="00BF4CC4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Charter Care, etc.) that they sh</w:t>
            </w:r>
            <w:r w:rsidR="003D26A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ould not be eligible </w:t>
            </w:r>
            <w:r w:rsidR="0091239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for the expansion for various reasons regarding additional funding.</w:t>
            </w:r>
            <w:r w:rsidR="008E7594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 </w:t>
            </w:r>
            <w:r w:rsidR="00AE4EF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commissioner does not think that ACO affiliation should exclude practices from </w:t>
            </w:r>
            <w:r w:rsidR="00D22505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</w:t>
            </w:r>
            <w:r w:rsidR="00AE4EF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CTC-RI or PCMH-Kids expansion.</w:t>
            </w:r>
          </w:p>
          <w:p w14:paraId="6C5CBDD7" w14:textId="053A0621" w:rsidR="008E7594" w:rsidRPr="00A922D5" w:rsidRDefault="008E7594" w:rsidP="00804BFF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final outcome from the meetings </w:t>
            </w:r>
            <w:r w:rsidR="00906B51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those meetings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were that practices that are affiliated with an ACO or a system of care WILL be able to participate in the 2017 expansion under some modified contract</w:t>
            </w:r>
            <w:r w:rsidR="00901C2B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ual arrangements (to be discussed at a meeting later in March).</w:t>
            </w:r>
          </w:p>
          <w:p w14:paraId="52522FFB" w14:textId="0E0D6047" w:rsidR="00BE19B3" w:rsidRPr="00A922D5" w:rsidRDefault="008E26AE" w:rsidP="00BE19B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Dr. Beth Lange followed that up with a summary from the</w:t>
            </w:r>
            <w:r w:rsidR="00FE067F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pediatric practice perspective.  There were many different layers to the expansion discussion with OHIC, the heal</w:t>
            </w:r>
            <w:r w:rsidR="001C363F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 plans, CTC-RI and PCMH-Kids including: the future of the program, where the current pediatric practices are, and the transformational pathway of the unaffiliated</w:t>
            </w:r>
            <w:r w:rsidR="00836F5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and current</w:t>
            </w:r>
            <w:r w:rsidR="001C363F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pediatric practices.</w:t>
            </w:r>
          </w:p>
          <w:p w14:paraId="3CB77DC1" w14:textId="5404460D" w:rsidR="00846D2D" w:rsidRPr="00A922D5" w:rsidRDefault="00CF180E" w:rsidP="00846D2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Corey also stated that </w:t>
            </w:r>
            <w:r w:rsidR="00AC61AF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OHIC has been hearing that there are concerns about how money is flowing to the practices.  OHIC is interested in getting some o</w:t>
            </w:r>
            <w:r w:rsidR="0032411B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bjective information on that.  The h</w:t>
            </w:r>
            <w:r w:rsidR="00AC61AF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ealth plans should expect some</w:t>
            </w:r>
            <w:r w:rsidR="00F12EF3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additional follow up questions from OHIC in the near future.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</w:t>
            </w:r>
          </w:p>
          <w:p w14:paraId="4300450D" w14:textId="10643E94" w:rsidR="00846D2D" w:rsidRPr="00A922D5" w:rsidRDefault="00846D2D" w:rsidP="004B1B0E">
            <w:pPr>
              <w:pStyle w:val="ListParagraph"/>
              <w:numPr>
                <w:ilvl w:val="0"/>
                <w:numId w:val="28"/>
              </w:numPr>
              <w:tabs>
                <w:tab w:val="left" w:pos="694"/>
              </w:tabs>
              <w:ind w:left="1144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Susanne Campbell from CTC-RI mentioned that th</w:t>
            </w:r>
            <w:r w:rsidR="002D43A6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e payment streams are </w:t>
            </w:r>
            <w:r w:rsidR="0076103E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twofold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:</w:t>
            </w:r>
          </w:p>
          <w:p w14:paraId="54299006" w14:textId="77777777" w:rsidR="00846D2D" w:rsidRPr="00A922D5" w:rsidRDefault="00846D2D" w:rsidP="004B1B0E">
            <w:pPr>
              <w:pStyle w:val="ListParagraph"/>
              <w:numPr>
                <w:ilvl w:val="0"/>
                <w:numId w:val="29"/>
              </w:numPr>
              <w:tabs>
                <w:tab w:val="left" w:pos="784"/>
              </w:tabs>
              <w:ind w:left="1594" w:hanging="450"/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Practices that are currently involved in the CTC contract with money going to the ACOs; and</w:t>
            </w:r>
          </w:p>
          <w:p w14:paraId="322859F8" w14:textId="41348D3C" w:rsidR="00846D2D" w:rsidRPr="00A922D5" w:rsidRDefault="00846D2D" w:rsidP="004B1B0E">
            <w:pPr>
              <w:pStyle w:val="ListParagraph"/>
              <w:numPr>
                <w:ilvl w:val="0"/>
                <w:numId w:val="29"/>
              </w:numPr>
              <w:tabs>
                <w:tab w:val="left" w:pos="784"/>
              </w:tabs>
              <w:ind w:left="1594" w:hanging="450"/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 money that goes from the health plans to the ACOs separate from the CTC contract.</w:t>
            </w:r>
          </w:p>
          <w:p w14:paraId="5390978C" w14:textId="32B19070" w:rsidR="00F41599" w:rsidRPr="00A922D5" w:rsidRDefault="00F41599" w:rsidP="004B1B0E">
            <w:pPr>
              <w:pStyle w:val="ListParagraph"/>
              <w:numPr>
                <w:ilvl w:val="0"/>
                <w:numId w:val="30"/>
              </w:numPr>
              <w:ind w:left="1954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More to follow after t</w:t>
            </w:r>
            <w:r w:rsidR="005E4CD5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he OHIC/CTC/PCM-Kids/ACO/Health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plan meeting on March 13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  <w:vertAlign w:val="superscript"/>
              </w:rPr>
              <w:t>th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.</w:t>
            </w:r>
          </w:p>
          <w:p w14:paraId="14A45F9F" w14:textId="77777777" w:rsidR="0093506C" w:rsidRPr="00A922D5" w:rsidRDefault="0093506C" w:rsidP="00BE19B3">
            <w:pPr>
              <w:contextualSpacing/>
              <w:rPr>
                <w:rFonts w:asciiTheme="minorHAnsi" w:hAnsiTheme="minorHAnsi" w:cs="Calibri"/>
                <w:b/>
                <w:bCs/>
              </w:rPr>
            </w:pPr>
          </w:p>
          <w:p w14:paraId="25FE02B1" w14:textId="77777777" w:rsidR="00804BFF" w:rsidRPr="00A922D5" w:rsidRDefault="00804BFF" w:rsidP="00804BFF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A922D5">
              <w:rPr>
                <w:rFonts w:asciiTheme="minorHAnsi" w:hAnsiTheme="minorHAnsi" w:cs="Calibri"/>
                <w:b/>
                <w:bCs/>
              </w:rPr>
              <w:t>Additional ACO Expansion Discussion Information</w:t>
            </w:r>
          </w:p>
          <w:p w14:paraId="22C91D1E" w14:textId="044C08E5" w:rsidR="00D243C0" w:rsidRPr="00A922D5" w:rsidRDefault="00804BFF" w:rsidP="0052417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There was some discussion from the ACO attendees </w:t>
            </w:r>
            <w:r w:rsidR="006137A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around the level of additional resources that the practices involved were receiving.</w:t>
            </w:r>
            <w:r w:rsidR="00BF0B19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 The</w:t>
            </w:r>
            <w:r w:rsidR="006A093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y have a different perspective on the information shared by OHIC.  They stated that</w:t>
            </w:r>
            <w:r w:rsidR="00BF0B19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ACOs are providing extra support, but </w:t>
            </w:r>
            <w:r w:rsidR="00414115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that </w:t>
            </w:r>
            <w:r w:rsidR="00BF0B19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practices are not receiving additional </w:t>
            </w:r>
            <w:r w:rsidR="006A093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resources</w:t>
            </w:r>
            <w:r w:rsidR="00BF0B19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.</w:t>
            </w:r>
            <w:r w:rsidR="007902C5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 </w:t>
            </w:r>
          </w:p>
          <w:p w14:paraId="535CE41B" w14:textId="6D20BB66" w:rsidR="00914A12" w:rsidRPr="00A922D5" w:rsidRDefault="00914A12" w:rsidP="0052417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Additional concerns were that the timeline is very short for an </w:t>
            </w:r>
            <w:r w:rsidR="002A27F0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expansion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application process, and even shorter if there are still other factors to be ironed out.</w:t>
            </w:r>
          </w:p>
          <w:p w14:paraId="3D6715A3" w14:textId="15D73C43" w:rsidR="00121FF0" w:rsidRPr="00A922D5" w:rsidRDefault="00F41599" w:rsidP="0052417B">
            <w:pPr>
              <w:pStyle w:val="ListParagraph"/>
              <w:numPr>
                <w:ilvl w:val="0"/>
                <w:numId w:val="17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CTC-RI confirmed that if the timeline gets too short, that </w:t>
            </w:r>
            <w:r w:rsidR="002A27F0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start date, which is currently set for </w:t>
            </w:r>
            <w:r w:rsidR="002A27F0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lastRenderedPageBreak/>
              <w:t>July 1, could be reassessed.</w:t>
            </w:r>
          </w:p>
          <w:p w14:paraId="7206156D" w14:textId="354A9AC9" w:rsidR="005C6068" w:rsidRPr="00A922D5" w:rsidRDefault="005C6068" w:rsidP="0052417B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Dr. Pat Flanagan also brought up the fact that </w:t>
            </w:r>
            <w:r w:rsidR="0075798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investing in children is crucial for r</w:t>
            </w:r>
            <w:r w:rsidR="001E209E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educing costs of care in adult</w:t>
            </w:r>
            <w:r w:rsidR="0073057C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populations over time.</w:t>
            </w:r>
          </w:p>
        </w:tc>
        <w:tc>
          <w:tcPr>
            <w:tcW w:w="1243" w:type="dxa"/>
            <w:vAlign w:val="center"/>
          </w:tcPr>
          <w:p w14:paraId="6E70FA8B" w14:textId="77777777" w:rsidR="00CC0937" w:rsidRPr="00A922D5" w:rsidRDefault="00CC0937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D7CAD" w:rsidRPr="0090348D" w14:paraId="4A991A30" w14:textId="77777777" w:rsidTr="001C2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7A814654" w14:textId="6E0C6012" w:rsidR="007D7CAD" w:rsidRPr="00A922D5" w:rsidRDefault="007D7CAD" w:rsidP="001C2687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lastRenderedPageBreak/>
              <w:t>3</w:t>
            </w:r>
            <w:r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14:paraId="4C740DDC" w14:textId="77777777" w:rsidR="007D7CAD" w:rsidRPr="00A922D5" w:rsidRDefault="007D7CAD" w:rsidP="001C2687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E. Eisenstein</w:t>
            </w:r>
          </w:p>
          <w:p w14:paraId="1B4488D1" w14:textId="456DD902" w:rsidR="007D7CAD" w:rsidRPr="00A922D5" w:rsidRDefault="00105F23" w:rsidP="001C2687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15</w:t>
            </w:r>
            <w:r w:rsidR="007D7CAD" w:rsidRPr="00A922D5">
              <w:rPr>
                <w:rFonts w:asciiTheme="minorHAnsi" w:hAnsiTheme="minorHAnsi" w:cs="Calibri"/>
                <w:sz w:val="24"/>
                <w:szCs w:val="24"/>
              </w:rPr>
              <w:t xml:space="preserve"> minutes</w:t>
            </w:r>
          </w:p>
        </w:tc>
        <w:tc>
          <w:tcPr>
            <w:tcW w:w="10980" w:type="dxa"/>
            <w:gridSpan w:val="6"/>
          </w:tcPr>
          <w:p w14:paraId="2F416FE0" w14:textId="77777777" w:rsidR="007D7CAD" w:rsidRPr="00A922D5" w:rsidRDefault="007D7CAD" w:rsidP="001C2687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Department of Health-Transition of Race to the Top Updates</w:t>
            </w:r>
          </w:p>
          <w:p w14:paraId="01768147" w14:textId="54669968" w:rsidR="007D7CAD" w:rsidRPr="00A922D5" w:rsidRDefault="00AC0EC6" w:rsidP="005F096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Emily Eisenstein from the RI Department of Health gave an u</w:t>
            </w:r>
            <w:r w:rsidR="007D7CAD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pdate on the </w:t>
            </w:r>
            <w:r w:rsidR="004927D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“</w:t>
            </w:r>
            <w:r w:rsidR="007D7CAD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Screening to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S</w:t>
            </w:r>
            <w:r w:rsidR="007D7CAD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ucceed</w:t>
            </w:r>
            <w:r w:rsidR="004927D1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”</w:t>
            </w:r>
            <w:r w:rsidR="007D7CAD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project status (</w:t>
            </w:r>
            <w:r w:rsidR="005F096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presentation </w:t>
            </w:r>
            <w:r w:rsidR="007D7CAD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included).</w:t>
            </w:r>
          </w:p>
        </w:tc>
        <w:tc>
          <w:tcPr>
            <w:tcW w:w="1243" w:type="dxa"/>
            <w:vAlign w:val="center"/>
          </w:tcPr>
          <w:p w14:paraId="3A4A2C7A" w14:textId="77777777" w:rsidR="007D7CAD" w:rsidRPr="00A922D5" w:rsidRDefault="007D7CAD" w:rsidP="001C2687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C393F" w:rsidRPr="0090348D" w14:paraId="716C5E61" w14:textId="77777777" w:rsidTr="00105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  <w:jc w:val="center"/>
        </w:trPr>
        <w:tc>
          <w:tcPr>
            <w:tcW w:w="980" w:type="dxa"/>
            <w:shd w:val="clear" w:color="auto" w:fill="FFFFFF" w:themeFill="background1"/>
          </w:tcPr>
          <w:p w14:paraId="3B90D7C8" w14:textId="6D6AA595" w:rsidR="00DC393F" w:rsidRPr="00A922D5" w:rsidRDefault="007D7CAD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="00A6509A"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65E1CEBA" w14:textId="77777777" w:rsidR="00DC393F" w:rsidRPr="00A922D5" w:rsidRDefault="00DC393F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B. Lange</w:t>
            </w:r>
          </w:p>
          <w:p w14:paraId="22C49422" w14:textId="77777777" w:rsidR="00DC393F" w:rsidRPr="00A922D5" w:rsidRDefault="00DC393F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P. Flanagan</w:t>
            </w:r>
          </w:p>
          <w:p w14:paraId="3EB2D884" w14:textId="0ED12DD6" w:rsidR="00DC393F" w:rsidRPr="00A922D5" w:rsidRDefault="00105F23" w:rsidP="00DC393F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5</w:t>
            </w:r>
            <w:r w:rsidR="00F516CF" w:rsidRPr="00A922D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DC393F" w:rsidRPr="00A922D5">
              <w:rPr>
                <w:rFonts w:asciiTheme="minorHAnsi" w:hAnsiTheme="minorHAnsi" w:cs="Calibri"/>
                <w:sz w:val="24"/>
                <w:szCs w:val="24"/>
              </w:rPr>
              <w:t xml:space="preserve"> minutes</w:t>
            </w:r>
          </w:p>
        </w:tc>
        <w:tc>
          <w:tcPr>
            <w:tcW w:w="10980" w:type="dxa"/>
            <w:gridSpan w:val="6"/>
            <w:shd w:val="clear" w:color="auto" w:fill="FFFFFF" w:themeFill="background1"/>
          </w:tcPr>
          <w:p w14:paraId="0360CD6E" w14:textId="77777777" w:rsidR="00DC393F" w:rsidRPr="00A922D5" w:rsidRDefault="00DC393F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Program Updates</w:t>
            </w:r>
          </w:p>
          <w:p w14:paraId="505C9060" w14:textId="77777777" w:rsidR="00105F23" w:rsidRPr="00A922D5" w:rsidRDefault="00105F23" w:rsidP="00105F23">
            <w:pPr>
              <w:pStyle w:val="ListParagraph"/>
              <w:numPr>
                <w:ilvl w:val="0"/>
                <w:numId w:val="7"/>
              </w:numPr>
              <w:ind w:left="694" w:hanging="27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sz w:val="24"/>
                <w:szCs w:val="24"/>
              </w:rPr>
              <w:t>ADHD Learning Collaborative Updates</w:t>
            </w:r>
          </w:p>
          <w:p w14:paraId="59D4B9E0" w14:textId="75408370" w:rsidR="0077105B" w:rsidRPr="00A922D5" w:rsidRDefault="001C59E8" w:rsidP="0077105B">
            <w:pPr>
              <w:pStyle w:val="ListParagraph"/>
              <w:numPr>
                <w:ilvl w:val="0"/>
                <w:numId w:val="17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Thanks to support from Tufts Health Plan</w:t>
            </w:r>
            <w:r w:rsidR="006F7B59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, </w:t>
            </w:r>
            <w:r w:rsidR="007A332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the second PCMH-Kids </w:t>
            </w:r>
            <w:r w:rsidR="006F7B59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BH </w:t>
            </w:r>
            <w:r w:rsidR="007A332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Learning Collaborative</w:t>
            </w:r>
            <w:r w:rsidR="006F7B59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will be</w:t>
            </w:r>
            <w:r w:rsidR="007A332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on April 26</w:t>
            </w:r>
            <w:r w:rsidR="007A3328" w:rsidRPr="00A922D5">
              <w:rPr>
                <w:rFonts w:asciiTheme="minorHAnsi" w:hAnsiTheme="minorHAnsi" w:cs="Calibri"/>
                <w:bCs/>
                <w:i/>
                <w:sz w:val="24"/>
                <w:szCs w:val="24"/>
                <w:vertAlign w:val="superscript"/>
              </w:rPr>
              <w:t>th</w:t>
            </w:r>
            <w:r w:rsidR="006F7B59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at the RI Shiners Imperial Room.</w:t>
            </w:r>
          </w:p>
          <w:p w14:paraId="06E6F79B" w14:textId="3BED5EBD" w:rsidR="0077105B" w:rsidRPr="00A922D5" w:rsidRDefault="00105F23" w:rsidP="0077105B">
            <w:pPr>
              <w:pStyle w:val="ListParagraph"/>
              <w:numPr>
                <w:ilvl w:val="0"/>
                <w:numId w:val="17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 “Save the Date”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went out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to all of the PCMH-Kids practices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to wrap up</w:t>
            </w:r>
            <w:r w:rsidR="007A332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the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ADHD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Learning Collaborative and to kick off the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Maternal De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pression Learning Collaborative.</w:t>
            </w:r>
          </w:p>
          <w:p w14:paraId="23E93BFC" w14:textId="65B5A7A9" w:rsidR="00105F23" w:rsidRPr="00A922D5" w:rsidRDefault="00105F23" w:rsidP="0077105B">
            <w:pPr>
              <w:pStyle w:val="ListParagraph"/>
              <w:numPr>
                <w:ilvl w:val="0"/>
                <w:numId w:val="17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Please let Michele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Brown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know if you have not received the meeting invite.</w:t>
            </w:r>
          </w:p>
          <w:p w14:paraId="21048CBD" w14:textId="77777777" w:rsidR="00B120D7" w:rsidRPr="00A922D5" w:rsidRDefault="00E91B9C" w:rsidP="007B6D38">
            <w:pPr>
              <w:pStyle w:val="ListParagraph"/>
              <w:numPr>
                <w:ilvl w:val="0"/>
                <w:numId w:val="7"/>
              </w:numPr>
              <w:ind w:left="694" w:hanging="270"/>
              <w:contextualSpacing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sz w:val="24"/>
                <w:szCs w:val="24"/>
              </w:rPr>
              <w:t>High Risk Updates</w:t>
            </w:r>
          </w:p>
          <w:p w14:paraId="106C805F" w14:textId="6475E9F6" w:rsidR="00B120D7" w:rsidRPr="00C527E8" w:rsidRDefault="000D0321" w:rsidP="009E2289">
            <w:pPr>
              <w:pStyle w:val="ListParagraph"/>
              <w:numPr>
                <w:ilvl w:val="0"/>
                <w:numId w:val="27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C527E8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As many of you may know, a Pediatric High Risk Sub-Group has formed based on </w:t>
            </w:r>
            <w:r w:rsidR="009E2289" w:rsidRPr="00C527E8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 contract</w:t>
            </w:r>
            <w:r w:rsidR="009E2289" w:rsidRPr="00C527E8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ual language which</w:t>
            </w:r>
            <w:r w:rsidR="009E2289" w:rsidRPr="00C527E8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identifies that PCMH-Kids practices will </w:t>
            </w:r>
            <w:r w:rsidR="00C527E8" w:rsidRPr="00C527E8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develop and maintain a high risk patient registry.</w:t>
            </w:r>
          </w:p>
          <w:p w14:paraId="02670F71" w14:textId="395293E0" w:rsidR="00BA650A" w:rsidRPr="00A922D5" w:rsidRDefault="005924FF" w:rsidP="00BA650A">
            <w:pPr>
              <w:pStyle w:val="ListParagraph"/>
              <w:numPr>
                <w:ilvl w:val="0"/>
                <w:numId w:val="27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To date, Coastal Medical, E. Greenwich Pediatrics, and</w:t>
            </w:r>
            <w:r w:rsidR="009E2289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Dr. David Keller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all presented</w:t>
            </w:r>
            <w:r w:rsidR="002804BD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over the last couple of months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on what their practices are doing around </w:t>
            </w:r>
            <w:r w:rsidR="00C862A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models to identify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high risk </w:t>
            </w:r>
            <w:r w:rsidR="00C862A0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patients.</w:t>
            </w:r>
          </w:p>
          <w:p w14:paraId="23375648" w14:textId="123F3F19" w:rsidR="00B120D7" w:rsidRPr="00A922D5" w:rsidRDefault="00B120D7" w:rsidP="00B120D7">
            <w:pPr>
              <w:pStyle w:val="ListParagraph"/>
              <w:numPr>
                <w:ilvl w:val="0"/>
                <w:numId w:val="26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Dr. William Hollinshead mentioned that the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survey of well-being of young children (SWYC) has the potential to make risk rating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.</w:t>
            </w:r>
          </w:p>
          <w:p w14:paraId="6E291704" w14:textId="4BC6532C" w:rsidR="00553B3D" w:rsidRPr="00A922D5" w:rsidRDefault="00B120D7" w:rsidP="00CF5397">
            <w:pPr>
              <w:pStyle w:val="ListParagraph"/>
              <w:numPr>
                <w:ilvl w:val="0"/>
                <w:numId w:val="20"/>
              </w:numPr>
              <w:ind w:left="1504"/>
              <w:contextualSpacing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More to follow at the next PCMH-Kids Stakeholder Meeting in June.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964F734" w14:textId="77777777" w:rsidR="00DC393F" w:rsidRPr="00A922D5" w:rsidRDefault="00DC393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65024" w:rsidRPr="0090348D" w14:paraId="300495A2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0155CC71" w14:textId="3AED2B83" w:rsidR="00D65024" w:rsidRPr="00A922D5" w:rsidRDefault="00D65024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5.</w:t>
            </w:r>
          </w:p>
        </w:tc>
        <w:tc>
          <w:tcPr>
            <w:tcW w:w="1900" w:type="dxa"/>
          </w:tcPr>
          <w:p w14:paraId="5390ABB8" w14:textId="37AB1B41" w:rsidR="00D65024" w:rsidRPr="00A922D5" w:rsidRDefault="00D65024" w:rsidP="00B06729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All</w:t>
            </w:r>
          </w:p>
        </w:tc>
        <w:tc>
          <w:tcPr>
            <w:tcW w:w="10980" w:type="dxa"/>
            <w:gridSpan w:val="6"/>
          </w:tcPr>
          <w:p w14:paraId="3A415E36" w14:textId="77777777" w:rsidR="00D65024" w:rsidRPr="00A922D5" w:rsidRDefault="00D65024" w:rsidP="0090348D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Other</w:t>
            </w:r>
          </w:p>
          <w:p w14:paraId="3DF454F5" w14:textId="77777777" w:rsidR="00D65024" w:rsidRPr="004D7F34" w:rsidRDefault="00DD059C" w:rsidP="003B5B1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There were some additional questions around 2017 expansion practices required to have an electronic health record (EHR) system to participate.</w:t>
            </w:r>
          </w:p>
          <w:p w14:paraId="3B18C9EC" w14:textId="70C98262" w:rsidR="004D7F34" w:rsidRPr="00A922D5" w:rsidRDefault="005C0A03" w:rsidP="004D7F34">
            <w:pPr>
              <w:pStyle w:val="ListParagraph"/>
              <w:numPr>
                <w:ilvl w:val="0"/>
                <w:numId w:val="26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More to follow, but that is a likely requirement.</w:t>
            </w:r>
            <w:bookmarkStart w:id="0" w:name="_GoBack"/>
            <w:bookmarkEnd w:id="0"/>
          </w:p>
          <w:p w14:paraId="431CC98E" w14:textId="77777777" w:rsidR="00FC5358" w:rsidRPr="00A922D5" w:rsidRDefault="006E0057" w:rsidP="003B5B1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After much hard work, Hasbro Med</w:t>
            </w:r>
            <w:r w:rsidR="00C323C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icine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Ped</w:t>
            </w:r>
            <w:r w:rsidR="00C323C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iatric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s and Hasbro </w:t>
            </w:r>
            <w:r w:rsidR="00C323C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Pediatric </w:t>
            </w: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Primary Care were awarded NCQA level </w:t>
            </w:r>
            <w:proofErr w:type="gramStart"/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3 </w:t>
            </w:r>
            <w:r w:rsidR="00C323C2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recognition</w:t>
            </w:r>
            <w:proofErr w:type="gramEnd"/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.</w:t>
            </w:r>
            <w:r w:rsidR="00FC5358"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 xml:space="preserve"> </w:t>
            </w:r>
          </w:p>
          <w:p w14:paraId="0DAE667B" w14:textId="77777777" w:rsidR="006E0057" w:rsidRPr="00A922D5" w:rsidRDefault="00FC5358" w:rsidP="00FC5358">
            <w:pPr>
              <w:pStyle w:val="ListParagraph"/>
              <w:numPr>
                <w:ilvl w:val="0"/>
                <w:numId w:val="12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We anticipate hearing shortly on the status of Pediatric Associates’ NCQA recognition level.</w:t>
            </w:r>
          </w:p>
          <w:p w14:paraId="7018932D" w14:textId="53A27298" w:rsidR="0072437F" w:rsidRPr="00A922D5" w:rsidRDefault="000C5A10" w:rsidP="0072437F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Dr. Pat Flanagan also mentioned how helpful the Cedars in the practices have been, and thanked EOHHS for their work on that.</w:t>
            </w:r>
          </w:p>
        </w:tc>
        <w:tc>
          <w:tcPr>
            <w:tcW w:w="1243" w:type="dxa"/>
            <w:vAlign w:val="center"/>
          </w:tcPr>
          <w:p w14:paraId="79D308C6" w14:textId="77777777" w:rsidR="00D65024" w:rsidRPr="00A922D5" w:rsidRDefault="00D65024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21B5D" w:rsidRPr="0090348D" w14:paraId="0F493EE2" w14:textId="77777777" w:rsidTr="00656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361F6C93" w14:textId="2FBC558B" w:rsidR="00D21B5D" w:rsidRPr="00A922D5" w:rsidRDefault="00D65024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sz w:val="24"/>
                <w:szCs w:val="24"/>
              </w:rPr>
              <w:t>6</w:t>
            </w:r>
            <w:r w:rsidR="00197E55" w:rsidRPr="00A922D5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14:paraId="6E9517C5" w14:textId="42C7F77B" w:rsidR="00D21B5D" w:rsidRPr="00A922D5" w:rsidRDefault="00D21B5D" w:rsidP="003C037E">
            <w:pPr>
              <w:pStyle w:val="tbltxt9pt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980" w:type="dxa"/>
            <w:gridSpan w:val="6"/>
          </w:tcPr>
          <w:p w14:paraId="2C57A0CC" w14:textId="77777777" w:rsidR="00D21B5D" w:rsidRPr="00A922D5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A922D5">
              <w:rPr>
                <w:rFonts w:asciiTheme="minorHAnsi" w:hAnsiTheme="minorHAnsi" w:cs="Calibri"/>
                <w:b/>
                <w:bCs/>
              </w:rPr>
              <w:t>Next Steps</w:t>
            </w:r>
          </w:p>
          <w:p w14:paraId="68BDCEA2" w14:textId="4446D370" w:rsidR="00AD3458" w:rsidRPr="00A922D5" w:rsidRDefault="0049499F" w:rsidP="00656BA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922D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Next Meeting </w:t>
            </w:r>
            <w:r w:rsidR="009E116B" w:rsidRPr="00A922D5">
              <w:rPr>
                <w:rFonts w:asciiTheme="minorHAnsi" w:hAnsiTheme="minorHAnsi" w:cs="Calibri"/>
                <w:bCs/>
                <w:sz w:val="24"/>
                <w:szCs w:val="24"/>
              </w:rPr>
              <w:t>June</w:t>
            </w:r>
            <w:r w:rsidR="00B55547" w:rsidRPr="00A922D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1</w:t>
            </w:r>
            <w:r w:rsidR="008D7F76" w:rsidRPr="00A922D5">
              <w:rPr>
                <w:rFonts w:asciiTheme="minorHAnsi" w:hAnsiTheme="minorHAnsi" w:cs="Calibri"/>
                <w:bCs/>
                <w:sz w:val="24"/>
                <w:szCs w:val="24"/>
              </w:rPr>
              <w:t>, 2017</w:t>
            </w:r>
          </w:p>
        </w:tc>
        <w:tc>
          <w:tcPr>
            <w:tcW w:w="1243" w:type="dxa"/>
            <w:vAlign w:val="center"/>
          </w:tcPr>
          <w:p w14:paraId="54AD169C" w14:textId="77777777" w:rsidR="00D21B5D" w:rsidRPr="00A922D5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54A6805" w14:textId="77777777" w:rsidR="005C0D1F" w:rsidRDefault="005C0D1F" w:rsidP="00DB62E8">
      <w:pPr>
        <w:contextualSpacing/>
        <w:rPr>
          <w:rFonts w:asciiTheme="minorHAnsi" w:hAnsiTheme="minorHAnsi" w:cs="Calibr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980"/>
        <w:gridCol w:w="8460"/>
        <w:gridCol w:w="1350"/>
        <w:gridCol w:w="1260"/>
      </w:tblGrid>
      <w:tr w:rsidR="00057A4B" w:rsidRPr="0096297E" w14:paraId="289A1C1E" w14:textId="77777777" w:rsidTr="00057A4B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A34D9F4" w14:textId="77777777" w:rsidR="00057A4B" w:rsidRPr="00A51300" w:rsidRDefault="00057A4B" w:rsidP="004E54F2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ACTION ITEM LOG</w:t>
            </w:r>
          </w:p>
        </w:tc>
      </w:tr>
      <w:tr w:rsidR="00057A4B" w:rsidRPr="00A51300" w14:paraId="53C783CA" w14:textId="77777777" w:rsidTr="000E7302">
        <w:trPr>
          <w:trHeight w:val="35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066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70F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Action 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14C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Assignee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8F3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20A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25B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Closed</w:t>
            </w:r>
          </w:p>
        </w:tc>
      </w:tr>
      <w:tr w:rsidR="00057A4B" w:rsidRPr="00A51300" w14:paraId="554348E1" w14:textId="77777777" w:rsidTr="000E7302">
        <w:trPr>
          <w:trHeight w:val="46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C835" w14:textId="7472BDCB" w:rsidR="00057A4B" w:rsidRPr="00A51300" w:rsidRDefault="00D714E0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lastRenderedPageBreak/>
              <w:t>3/2/17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B57" w14:textId="0F486C04" w:rsidR="00057A4B" w:rsidRPr="00A51300" w:rsidRDefault="00D714E0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A63" w14:textId="1DD77E11" w:rsidR="00057A4B" w:rsidRPr="00A51300" w:rsidRDefault="00DB403D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Current PCMH-Kids Practice Reps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361" w14:textId="55CAF8F2" w:rsidR="00057A4B" w:rsidRPr="00A51300" w:rsidRDefault="00D714E0" w:rsidP="004E54F2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Provide feedback, lessons learned, and/or other information on the 2017 pediatric expansion.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ACA" w14:textId="66BD445D" w:rsidR="00057A4B" w:rsidRPr="00A51300" w:rsidRDefault="00D714E0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A51300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3/30/17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D53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57A4B" w:rsidRPr="00A51300" w14:paraId="0D8B6AF6" w14:textId="77777777" w:rsidTr="000E7302">
        <w:trPr>
          <w:trHeight w:val="46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4A1" w14:textId="3926B39B" w:rsidR="00057A4B" w:rsidRPr="00A51300" w:rsidRDefault="00136966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3/2/17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5C0" w14:textId="1CC522B8" w:rsidR="00057A4B" w:rsidRPr="00A51300" w:rsidRDefault="00136966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D89C" w14:textId="51D1A56A" w:rsidR="00057A4B" w:rsidRPr="00A51300" w:rsidRDefault="00136966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P. Flanagan and B. Lange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4B2" w14:textId="1935AD68" w:rsidR="00057A4B" w:rsidRPr="00A51300" w:rsidRDefault="00136966" w:rsidP="00DE5243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Send out the RFI from CMS regarding </w:t>
            </w:r>
            <w:r w:rsidR="00DE524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Medicaid for children.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0BD" w14:textId="52F7AAF5" w:rsidR="00057A4B" w:rsidRPr="00A51300" w:rsidRDefault="00136966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3/30/17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CC3F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57A4B" w:rsidRPr="00A51300" w14:paraId="4FCB8926" w14:textId="77777777" w:rsidTr="000E7302">
        <w:trPr>
          <w:trHeight w:val="46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7F9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5AD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5A3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301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E299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6BD" w14:textId="77777777" w:rsidR="00057A4B" w:rsidRPr="00A51300" w:rsidRDefault="00057A4B" w:rsidP="004E54F2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58043AE8" w14:textId="77777777" w:rsidR="00057A4B" w:rsidRPr="0090348D" w:rsidRDefault="00057A4B" w:rsidP="00DB62E8">
      <w:pPr>
        <w:contextualSpacing/>
        <w:rPr>
          <w:rFonts w:asciiTheme="minorHAnsi" w:hAnsiTheme="minorHAnsi" w:cs="Calibri"/>
          <w:sz w:val="22"/>
          <w:szCs w:val="22"/>
        </w:rPr>
      </w:pPr>
    </w:p>
    <w:sectPr w:rsidR="00057A4B" w:rsidRPr="0090348D" w:rsidSect="00795313">
      <w:footerReference w:type="default" r:id="rId8"/>
      <w:pgSz w:w="15840" w:h="12240" w:orient="landscape"/>
      <w:pgMar w:top="540" w:right="360" w:bottom="720" w:left="36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9BA2" w14:textId="77777777" w:rsidR="00267508" w:rsidRDefault="00267508" w:rsidP="00074BBE">
      <w:r>
        <w:separator/>
      </w:r>
    </w:p>
  </w:endnote>
  <w:endnote w:type="continuationSeparator" w:id="0">
    <w:p w14:paraId="467BE3EF" w14:textId="77777777" w:rsidR="00267508" w:rsidRDefault="0026750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3AEC" w14:textId="77777777"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5C0A03" w:rsidRPr="005C0A03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6D4E56FC" w14:textId="77777777"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4B7A" w14:textId="77777777" w:rsidR="00267508" w:rsidRDefault="00267508" w:rsidP="00074BBE">
      <w:r>
        <w:separator/>
      </w:r>
    </w:p>
  </w:footnote>
  <w:footnote w:type="continuationSeparator" w:id="0">
    <w:p w14:paraId="1C94D225" w14:textId="77777777" w:rsidR="00267508" w:rsidRDefault="0026750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5226"/>
    <w:multiLevelType w:val="hybridMultilevel"/>
    <w:tmpl w:val="14322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A3A4F"/>
    <w:multiLevelType w:val="hybridMultilevel"/>
    <w:tmpl w:val="F9D4D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10A8"/>
    <w:multiLevelType w:val="hybridMultilevel"/>
    <w:tmpl w:val="43E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4C82"/>
    <w:multiLevelType w:val="hybridMultilevel"/>
    <w:tmpl w:val="D8DE6B04"/>
    <w:lvl w:ilvl="0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6A2E"/>
    <w:multiLevelType w:val="hybridMultilevel"/>
    <w:tmpl w:val="7156773A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89A"/>
    <w:multiLevelType w:val="hybridMultilevel"/>
    <w:tmpl w:val="05E8E0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6F9"/>
    <w:multiLevelType w:val="hybridMultilevel"/>
    <w:tmpl w:val="417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848E2"/>
    <w:multiLevelType w:val="hybridMultilevel"/>
    <w:tmpl w:val="7990220C"/>
    <w:lvl w:ilvl="0" w:tplc="040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1">
    <w:nsid w:val="2FC54404"/>
    <w:multiLevelType w:val="hybridMultilevel"/>
    <w:tmpl w:val="43C429E8"/>
    <w:lvl w:ilvl="0" w:tplc="04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>
    <w:nsid w:val="32CE38AF"/>
    <w:multiLevelType w:val="hybridMultilevel"/>
    <w:tmpl w:val="80C6C3D0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39E7"/>
    <w:multiLevelType w:val="hybridMultilevel"/>
    <w:tmpl w:val="438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596"/>
    <w:multiLevelType w:val="hybridMultilevel"/>
    <w:tmpl w:val="0AC0B36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851"/>
    <w:multiLevelType w:val="hybridMultilevel"/>
    <w:tmpl w:val="A5D67FFA"/>
    <w:lvl w:ilvl="0" w:tplc="04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7">
    <w:nsid w:val="45587B41"/>
    <w:multiLevelType w:val="hybridMultilevel"/>
    <w:tmpl w:val="6BCE3EA8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562DD"/>
    <w:multiLevelType w:val="hybridMultilevel"/>
    <w:tmpl w:val="E2D6D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3D2CD2"/>
    <w:multiLevelType w:val="hybridMultilevel"/>
    <w:tmpl w:val="61FA4E48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52B64A87"/>
    <w:multiLevelType w:val="hybridMultilevel"/>
    <w:tmpl w:val="EA08B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D53C03"/>
    <w:multiLevelType w:val="hybridMultilevel"/>
    <w:tmpl w:val="08F29692"/>
    <w:lvl w:ilvl="0" w:tplc="04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2">
    <w:nsid w:val="5BE64F7A"/>
    <w:multiLevelType w:val="hybridMultilevel"/>
    <w:tmpl w:val="64F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169C9"/>
    <w:multiLevelType w:val="hybridMultilevel"/>
    <w:tmpl w:val="2A729E6C"/>
    <w:lvl w:ilvl="0" w:tplc="04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4">
    <w:nsid w:val="62F92D2F"/>
    <w:multiLevelType w:val="hybridMultilevel"/>
    <w:tmpl w:val="2EEEB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9012D"/>
    <w:multiLevelType w:val="hybridMultilevel"/>
    <w:tmpl w:val="C5389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E50E34"/>
    <w:multiLevelType w:val="hybridMultilevel"/>
    <w:tmpl w:val="1C0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0BAE"/>
    <w:multiLevelType w:val="hybridMultilevel"/>
    <w:tmpl w:val="6BB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0"/>
  </w:num>
  <w:num w:numId="5">
    <w:abstractNumId w:val="15"/>
  </w:num>
  <w:num w:numId="6">
    <w:abstractNumId w:val="25"/>
  </w:num>
  <w:num w:numId="7">
    <w:abstractNumId w:val="1"/>
  </w:num>
  <w:num w:numId="8">
    <w:abstractNumId w:val="14"/>
  </w:num>
  <w:num w:numId="9">
    <w:abstractNumId w:val="3"/>
  </w:num>
  <w:num w:numId="10">
    <w:abstractNumId w:val="23"/>
  </w:num>
  <w:num w:numId="11">
    <w:abstractNumId w:val="12"/>
  </w:num>
  <w:num w:numId="12">
    <w:abstractNumId w:val="24"/>
  </w:num>
  <w:num w:numId="13">
    <w:abstractNumId w:val="17"/>
  </w:num>
  <w:num w:numId="14">
    <w:abstractNumId w:val="6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"/>
  </w:num>
  <w:num w:numId="21">
    <w:abstractNumId w:val="29"/>
  </w:num>
  <w:num w:numId="22">
    <w:abstractNumId w:val="13"/>
  </w:num>
  <w:num w:numId="23">
    <w:abstractNumId w:val="18"/>
  </w:num>
  <w:num w:numId="24">
    <w:abstractNumId w:val="9"/>
  </w:num>
  <w:num w:numId="25">
    <w:abstractNumId w:val="21"/>
  </w:num>
  <w:num w:numId="26">
    <w:abstractNumId w:val="16"/>
  </w:num>
  <w:num w:numId="27">
    <w:abstractNumId w:val="11"/>
  </w:num>
  <w:num w:numId="28">
    <w:abstractNumId w:val="19"/>
  </w:num>
  <w:num w:numId="29">
    <w:abstractNumId w:val="10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DF8"/>
    <w:rsid w:val="00000E9E"/>
    <w:rsid w:val="0000114D"/>
    <w:rsid w:val="00006F07"/>
    <w:rsid w:val="00010702"/>
    <w:rsid w:val="0001309F"/>
    <w:rsid w:val="00014E2B"/>
    <w:rsid w:val="000239DC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5CF5"/>
    <w:rsid w:val="00056991"/>
    <w:rsid w:val="00057A4B"/>
    <w:rsid w:val="00061339"/>
    <w:rsid w:val="00074740"/>
    <w:rsid w:val="00074BBE"/>
    <w:rsid w:val="000808B4"/>
    <w:rsid w:val="00084237"/>
    <w:rsid w:val="00091462"/>
    <w:rsid w:val="000932FB"/>
    <w:rsid w:val="000940EC"/>
    <w:rsid w:val="000954A9"/>
    <w:rsid w:val="00095D27"/>
    <w:rsid w:val="000A0197"/>
    <w:rsid w:val="000A1524"/>
    <w:rsid w:val="000B2D58"/>
    <w:rsid w:val="000B59DE"/>
    <w:rsid w:val="000B59F5"/>
    <w:rsid w:val="000C1F98"/>
    <w:rsid w:val="000C24D1"/>
    <w:rsid w:val="000C26DE"/>
    <w:rsid w:val="000C292D"/>
    <w:rsid w:val="000C53F9"/>
    <w:rsid w:val="000C5A10"/>
    <w:rsid w:val="000D0321"/>
    <w:rsid w:val="000D03A1"/>
    <w:rsid w:val="000D2B6A"/>
    <w:rsid w:val="000D2C69"/>
    <w:rsid w:val="000D5AE0"/>
    <w:rsid w:val="000D7FC9"/>
    <w:rsid w:val="000E0B1E"/>
    <w:rsid w:val="000E16E8"/>
    <w:rsid w:val="000E42D8"/>
    <w:rsid w:val="000E63D6"/>
    <w:rsid w:val="000E712F"/>
    <w:rsid w:val="000E7302"/>
    <w:rsid w:val="000F309B"/>
    <w:rsid w:val="000F4715"/>
    <w:rsid w:val="000F59A4"/>
    <w:rsid w:val="000F6528"/>
    <w:rsid w:val="001043DB"/>
    <w:rsid w:val="00105F23"/>
    <w:rsid w:val="00110A41"/>
    <w:rsid w:val="00110A96"/>
    <w:rsid w:val="00112EED"/>
    <w:rsid w:val="00116394"/>
    <w:rsid w:val="00120925"/>
    <w:rsid w:val="0012098B"/>
    <w:rsid w:val="00121FF0"/>
    <w:rsid w:val="001230F9"/>
    <w:rsid w:val="00124C55"/>
    <w:rsid w:val="00125E91"/>
    <w:rsid w:val="00134771"/>
    <w:rsid w:val="001366C5"/>
    <w:rsid w:val="00136966"/>
    <w:rsid w:val="00137ABB"/>
    <w:rsid w:val="00140990"/>
    <w:rsid w:val="00140F4C"/>
    <w:rsid w:val="00141376"/>
    <w:rsid w:val="00143EFD"/>
    <w:rsid w:val="00145804"/>
    <w:rsid w:val="00146C12"/>
    <w:rsid w:val="00152ED0"/>
    <w:rsid w:val="0015380E"/>
    <w:rsid w:val="00154AA7"/>
    <w:rsid w:val="00154E01"/>
    <w:rsid w:val="001555F7"/>
    <w:rsid w:val="0015576C"/>
    <w:rsid w:val="0015781B"/>
    <w:rsid w:val="0015797A"/>
    <w:rsid w:val="001610DB"/>
    <w:rsid w:val="001622D0"/>
    <w:rsid w:val="0016412B"/>
    <w:rsid w:val="00166642"/>
    <w:rsid w:val="001704A6"/>
    <w:rsid w:val="0017088C"/>
    <w:rsid w:val="00170D51"/>
    <w:rsid w:val="00177271"/>
    <w:rsid w:val="00181A8B"/>
    <w:rsid w:val="00190EAE"/>
    <w:rsid w:val="00192BC7"/>
    <w:rsid w:val="00193C91"/>
    <w:rsid w:val="0019617F"/>
    <w:rsid w:val="001963CF"/>
    <w:rsid w:val="00197E55"/>
    <w:rsid w:val="001A157D"/>
    <w:rsid w:val="001A5570"/>
    <w:rsid w:val="001B18DF"/>
    <w:rsid w:val="001B2DBE"/>
    <w:rsid w:val="001B31AD"/>
    <w:rsid w:val="001C0772"/>
    <w:rsid w:val="001C0965"/>
    <w:rsid w:val="001C10D3"/>
    <w:rsid w:val="001C340A"/>
    <w:rsid w:val="001C363F"/>
    <w:rsid w:val="001C3E2C"/>
    <w:rsid w:val="001C58AB"/>
    <w:rsid w:val="001C59E8"/>
    <w:rsid w:val="001D4D3F"/>
    <w:rsid w:val="001D6666"/>
    <w:rsid w:val="001E209E"/>
    <w:rsid w:val="001E2604"/>
    <w:rsid w:val="001E3283"/>
    <w:rsid w:val="001E45EC"/>
    <w:rsid w:val="001E583B"/>
    <w:rsid w:val="001E6001"/>
    <w:rsid w:val="001E7EE0"/>
    <w:rsid w:val="0020235E"/>
    <w:rsid w:val="002035C0"/>
    <w:rsid w:val="00203A35"/>
    <w:rsid w:val="00205E4D"/>
    <w:rsid w:val="002113A0"/>
    <w:rsid w:val="002159BF"/>
    <w:rsid w:val="002160C8"/>
    <w:rsid w:val="002207C9"/>
    <w:rsid w:val="0022647A"/>
    <w:rsid w:val="0022745C"/>
    <w:rsid w:val="00227F2A"/>
    <w:rsid w:val="00233B22"/>
    <w:rsid w:val="00235D7F"/>
    <w:rsid w:val="002378AA"/>
    <w:rsid w:val="0024014D"/>
    <w:rsid w:val="00240F12"/>
    <w:rsid w:val="00254A4F"/>
    <w:rsid w:val="00254FDC"/>
    <w:rsid w:val="0026051C"/>
    <w:rsid w:val="002630B5"/>
    <w:rsid w:val="002631CB"/>
    <w:rsid w:val="002645B8"/>
    <w:rsid w:val="00264D45"/>
    <w:rsid w:val="00267508"/>
    <w:rsid w:val="00274894"/>
    <w:rsid w:val="00275141"/>
    <w:rsid w:val="00275744"/>
    <w:rsid w:val="0027594C"/>
    <w:rsid w:val="0028010C"/>
    <w:rsid w:val="0028025E"/>
    <w:rsid w:val="002804BD"/>
    <w:rsid w:val="00281C4F"/>
    <w:rsid w:val="00284AC8"/>
    <w:rsid w:val="00286EF6"/>
    <w:rsid w:val="002917D4"/>
    <w:rsid w:val="00291FE0"/>
    <w:rsid w:val="00293299"/>
    <w:rsid w:val="002967DA"/>
    <w:rsid w:val="002A07E8"/>
    <w:rsid w:val="002A2210"/>
    <w:rsid w:val="002A27F0"/>
    <w:rsid w:val="002A431E"/>
    <w:rsid w:val="002A4528"/>
    <w:rsid w:val="002A67FF"/>
    <w:rsid w:val="002A736A"/>
    <w:rsid w:val="002B11F6"/>
    <w:rsid w:val="002B3F88"/>
    <w:rsid w:val="002B401D"/>
    <w:rsid w:val="002B6FF6"/>
    <w:rsid w:val="002B7D1C"/>
    <w:rsid w:val="002C04F4"/>
    <w:rsid w:val="002C0D0E"/>
    <w:rsid w:val="002C220E"/>
    <w:rsid w:val="002C24F5"/>
    <w:rsid w:val="002C3185"/>
    <w:rsid w:val="002C6015"/>
    <w:rsid w:val="002D17F5"/>
    <w:rsid w:val="002D27F9"/>
    <w:rsid w:val="002D3698"/>
    <w:rsid w:val="002D3997"/>
    <w:rsid w:val="002D43A5"/>
    <w:rsid w:val="002D43A6"/>
    <w:rsid w:val="002D469E"/>
    <w:rsid w:val="002D4DEC"/>
    <w:rsid w:val="002D5637"/>
    <w:rsid w:val="002D6BC0"/>
    <w:rsid w:val="002D7EE5"/>
    <w:rsid w:val="002E043C"/>
    <w:rsid w:val="002E6F91"/>
    <w:rsid w:val="002E75A9"/>
    <w:rsid w:val="002F04B5"/>
    <w:rsid w:val="002F132A"/>
    <w:rsid w:val="002F259F"/>
    <w:rsid w:val="002F4291"/>
    <w:rsid w:val="002F6152"/>
    <w:rsid w:val="00302303"/>
    <w:rsid w:val="0030453D"/>
    <w:rsid w:val="00307B54"/>
    <w:rsid w:val="00311CB6"/>
    <w:rsid w:val="00312316"/>
    <w:rsid w:val="00317CBE"/>
    <w:rsid w:val="00320BF9"/>
    <w:rsid w:val="003221D5"/>
    <w:rsid w:val="0032411B"/>
    <w:rsid w:val="00327EA0"/>
    <w:rsid w:val="003376DA"/>
    <w:rsid w:val="00341ACE"/>
    <w:rsid w:val="00344BF2"/>
    <w:rsid w:val="0034588F"/>
    <w:rsid w:val="00347866"/>
    <w:rsid w:val="0035068F"/>
    <w:rsid w:val="00354F93"/>
    <w:rsid w:val="0035730E"/>
    <w:rsid w:val="00364074"/>
    <w:rsid w:val="00364412"/>
    <w:rsid w:val="003645B5"/>
    <w:rsid w:val="00365A3F"/>
    <w:rsid w:val="003722F5"/>
    <w:rsid w:val="0037241D"/>
    <w:rsid w:val="00377531"/>
    <w:rsid w:val="00383D71"/>
    <w:rsid w:val="003852F3"/>
    <w:rsid w:val="00387A82"/>
    <w:rsid w:val="00394E66"/>
    <w:rsid w:val="003B163A"/>
    <w:rsid w:val="003B5B1D"/>
    <w:rsid w:val="003B641D"/>
    <w:rsid w:val="003C0025"/>
    <w:rsid w:val="003C037E"/>
    <w:rsid w:val="003C4989"/>
    <w:rsid w:val="003C68F9"/>
    <w:rsid w:val="003D1485"/>
    <w:rsid w:val="003D1B9B"/>
    <w:rsid w:val="003D26A8"/>
    <w:rsid w:val="003D3A7F"/>
    <w:rsid w:val="003D3DCE"/>
    <w:rsid w:val="003D3FE8"/>
    <w:rsid w:val="003E0422"/>
    <w:rsid w:val="003E13B7"/>
    <w:rsid w:val="003E6939"/>
    <w:rsid w:val="003F0C95"/>
    <w:rsid w:val="003F1CD6"/>
    <w:rsid w:val="003F36A2"/>
    <w:rsid w:val="003F3F28"/>
    <w:rsid w:val="003F55AE"/>
    <w:rsid w:val="003F64A6"/>
    <w:rsid w:val="0041059C"/>
    <w:rsid w:val="00411503"/>
    <w:rsid w:val="00414115"/>
    <w:rsid w:val="00414194"/>
    <w:rsid w:val="004175EE"/>
    <w:rsid w:val="00417F68"/>
    <w:rsid w:val="004222BA"/>
    <w:rsid w:val="00426EC1"/>
    <w:rsid w:val="00432312"/>
    <w:rsid w:val="004353DA"/>
    <w:rsid w:val="004457AD"/>
    <w:rsid w:val="00445836"/>
    <w:rsid w:val="004534DD"/>
    <w:rsid w:val="004537F1"/>
    <w:rsid w:val="004542A2"/>
    <w:rsid w:val="00460066"/>
    <w:rsid w:val="00460ED6"/>
    <w:rsid w:val="00461C87"/>
    <w:rsid w:val="00466494"/>
    <w:rsid w:val="00476EAF"/>
    <w:rsid w:val="004815F2"/>
    <w:rsid w:val="00481889"/>
    <w:rsid w:val="004820B9"/>
    <w:rsid w:val="00484BDF"/>
    <w:rsid w:val="00485D92"/>
    <w:rsid w:val="004921A3"/>
    <w:rsid w:val="004927D1"/>
    <w:rsid w:val="004928E0"/>
    <w:rsid w:val="0049499F"/>
    <w:rsid w:val="004A19C0"/>
    <w:rsid w:val="004A42BC"/>
    <w:rsid w:val="004A5C89"/>
    <w:rsid w:val="004A5C96"/>
    <w:rsid w:val="004B1B0E"/>
    <w:rsid w:val="004B4F17"/>
    <w:rsid w:val="004B67AD"/>
    <w:rsid w:val="004B7475"/>
    <w:rsid w:val="004D4779"/>
    <w:rsid w:val="004D57FA"/>
    <w:rsid w:val="004D64FC"/>
    <w:rsid w:val="004D6D07"/>
    <w:rsid w:val="004D77CD"/>
    <w:rsid w:val="004D7F34"/>
    <w:rsid w:val="004E1B37"/>
    <w:rsid w:val="004E6CE7"/>
    <w:rsid w:val="004F0455"/>
    <w:rsid w:val="004F3E5D"/>
    <w:rsid w:val="004F5332"/>
    <w:rsid w:val="004F54CC"/>
    <w:rsid w:val="004F663D"/>
    <w:rsid w:val="004F7D9A"/>
    <w:rsid w:val="005001A2"/>
    <w:rsid w:val="00504101"/>
    <w:rsid w:val="0050464A"/>
    <w:rsid w:val="00505677"/>
    <w:rsid w:val="0051186F"/>
    <w:rsid w:val="00511C48"/>
    <w:rsid w:val="00512C25"/>
    <w:rsid w:val="00521C4A"/>
    <w:rsid w:val="0052417B"/>
    <w:rsid w:val="00524A83"/>
    <w:rsid w:val="00524DD5"/>
    <w:rsid w:val="00525142"/>
    <w:rsid w:val="005266AC"/>
    <w:rsid w:val="00527757"/>
    <w:rsid w:val="005300AD"/>
    <w:rsid w:val="0053018E"/>
    <w:rsid w:val="0053034C"/>
    <w:rsid w:val="005370FE"/>
    <w:rsid w:val="00537ED6"/>
    <w:rsid w:val="00540230"/>
    <w:rsid w:val="005453F0"/>
    <w:rsid w:val="00545C46"/>
    <w:rsid w:val="00546B25"/>
    <w:rsid w:val="00546E23"/>
    <w:rsid w:val="00553B3D"/>
    <w:rsid w:val="005558CD"/>
    <w:rsid w:val="005603F9"/>
    <w:rsid w:val="00562F66"/>
    <w:rsid w:val="00566ACA"/>
    <w:rsid w:val="00567303"/>
    <w:rsid w:val="00572BE6"/>
    <w:rsid w:val="0057384D"/>
    <w:rsid w:val="005777BA"/>
    <w:rsid w:val="00582782"/>
    <w:rsid w:val="00582886"/>
    <w:rsid w:val="0059039F"/>
    <w:rsid w:val="0059107F"/>
    <w:rsid w:val="005924FF"/>
    <w:rsid w:val="00593E3B"/>
    <w:rsid w:val="005950EC"/>
    <w:rsid w:val="005A2647"/>
    <w:rsid w:val="005A2D57"/>
    <w:rsid w:val="005B2388"/>
    <w:rsid w:val="005B2687"/>
    <w:rsid w:val="005B3E52"/>
    <w:rsid w:val="005B7334"/>
    <w:rsid w:val="005C0A03"/>
    <w:rsid w:val="005C0D1F"/>
    <w:rsid w:val="005C1F89"/>
    <w:rsid w:val="005C5013"/>
    <w:rsid w:val="005C5292"/>
    <w:rsid w:val="005C57F6"/>
    <w:rsid w:val="005C6068"/>
    <w:rsid w:val="005D39E1"/>
    <w:rsid w:val="005D3C0F"/>
    <w:rsid w:val="005D660F"/>
    <w:rsid w:val="005E14A1"/>
    <w:rsid w:val="005E4CD5"/>
    <w:rsid w:val="005E59C6"/>
    <w:rsid w:val="005E6B6E"/>
    <w:rsid w:val="005F0960"/>
    <w:rsid w:val="005F1BCB"/>
    <w:rsid w:val="005F6EF5"/>
    <w:rsid w:val="005F7135"/>
    <w:rsid w:val="00607804"/>
    <w:rsid w:val="00610087"/>
    <w:rsid w:val="00611A68"/>
    <w:rsid w:val="006137A1"/>
    <w:rsid w:val="00616CD6"/>
    <w:rsid w:val="00616ED0"/>
    <w:rsid w:val="0062147D"/>
    <w:rsid w:val="00621692"/>
    <w:rsid w:val="0062479B"/>
    <w:rsid w:val="00632D14"/>
    <w:rsid w:val="006334C2"/>
    <w:rsid w:val="00634382"/>
    <w:rsid w:val="00636DAE"/>
    <w:rsid w:val="00637146"/>
    <w:rsid w:val="00637818"/>
    <w:rsid w:val="00640C8B"/>
    <w:rsid w:val="006446B1"/>
    <w:rsid w:val="00644A4B"/>
    <w:rsid w:val="00644BFC"/>
    <w:rsid w:val="00646126"/>
    <w:rsid w:val="00646B0F"/>
    <w:rsid w:val="00646D07"/>
    <w:rsid w:val="00646E2C"/>
    <w:rsid w:val="00647343"/>
    <w:rsid w:val="00652F1E"/>
    <w:rsid w:val="006551D3"/>
    <w:rsid w:val="00656BAE"/>
    <w:rsid w:val="00660232"/>
    <w:rsid w:val="00663525"/>
    <w:rsid w:val="00663C97"/>
    <w:rsid w:val="00665FEA"/>
    <w:rsid w:val="00667D08"/>
    <w:rsid w:val="0067373D"/>
    <w:rsid w:val="0067554B"/>
    <w:rsid w:val="00681497"/>
    <w:rsid w:val="00681BFD"/>
    <w:rsid w:val="006833D1"/>
    <w:rsid w:val="0068341E"/>
    <w:rsid w:val="006846D4"/>
    <w:rsid w:val="00690076"/>
    <w:rsid w:val="0069271B"/>
    <w:rsid w:val="006934B5"/>
    <w:rsid w:val="0069478A"/>
    <w:rsid w:val="006970FB"/>
    <w:rsid w:val="0069745B"/>
    <w:rsid w:val="006A0931"/>
    <w:rsid w:val="006B0FCB"/>
    <w:rsid w:val="006B2051"/>
    <w:rsid w:val="006B3306"/>
    <w:rsid w:val="006B4966"/>
    <w:rsid w:val="006B75D9"/>
    <w:rsid w:val="006C008F"/>
    <w:rsid w:val="006C41CC"/>
    <w:rsid w:val="006D1C61"/>
    <w:rsid w:val="006D2F66"/>
    <w:rsid w:val="006D3087"/>
    <w:rsid w:val="006D6832"/>
    <w:rsid w:val="006E0057"/>
    <w:rsid w:val="006E3E89"/>
    <w:rsid w:val="006E58E7"/>
    <w:rsid w:val="006E679A"/>
    <w:rsid w:val="006E6B49"/>
    <w:rsid w:val="006E7899"/>
    <w:rsid w:val="006F0DFF"/>
    <w:rsid w:val="006F14C4"/>
    <w:rsid w:val="006F4A39"/>
    <w:rsid w:val="006F6502"/>
    <w:rsid w:val="006F692A"/>
    <w:rsid w:val="006F6D4B"/>
    <w:rsid w:val="006F7B59"/>
    <w:rsid w:val="007022E2"/>
    <w:rsid w:val="00706287"/>
    <w:rsid w:val="0071517B"/>
    <w:rsid w:val="0071760F"/>
    <w:rsid w:val="00717A0E"/>
    <w:rsid w:val="00721875"/>
    <w:rsid w:val="0072437F"/>
    <w:rsid w:val="007274FF"/>
    <w:rsid w:val="0073055A"/>
    <w:rsid w:val="0073057C"/>
    <w:rsid w:val="0073470B"/>
    <w:rsid w:val="00741AB8"/>
    <w:rsid w:val="00742AE5"/>
    <w:rsid w:val="00744FDB"/>
    <w:rsid w:val="007454F1"/>
    <w:rsid w:val="00745C32"/>
    <w:rsid w:val="007500AB"/>
    <w:rsid w:val="00751FC1"/>
    <w:rsid w:val="00756197"/>
    <w:rsid w:val="00757982"/>
    <w:rsid w:val="007579A2"/>
    <w:rsid w:val="00760BFB"/>
    <w:rsid w:val="00760F11"/>
    <w:rsid w:val="0076103E"/>
    <w:rsid w:val="00761B61"/>
    <w:rsid w:val="0077105B"/>
    <w:rsid w:val="00776C9E"/>
    <w:rsid w:val="0078288F"/>
    <w:rsid w:val="007850B1"/>
    <w:rsid w:val="0078525C"/>
    <w:rsid w:val="00785EF5"/>
    <w:rsid w:val="007868C7"/>
    <w:rsid w:val="007902C5"/>
    <w:rsid w:val="00790C43"/>
    <w:rsid w:val="00790CED"/>
    <w:rsid w:val="0079284D"/>
    <w:rsid w:val="00792BB3"/>
    <w:rsid w:val="00794FB5"/>
    <w:rsid w:val="00795313"/>
    <w:rsid w:val="007A3328"/>
    <w:rsid w:val="007A4E4E"/>
    <w:rsid w:val="007A61CA"/>
    <w:rsid w:val="007B22AF"/>
    <w:rsid w:val="007B3FB9"/>
    <w:rsid w:val="007B6D38"/>
    <w:rsid w:val="007C0630"/>
    <w:rsid w:val="007C42EA"/>
    <w:rsid w:val="007C4E3F"/>
    <w:rsid w:val="007C50F3"/>
    <w:rsid w:val="007C6ED5"/>
    <w:rsid w:val="007D15A7"/>
    <w:rsid w:val="007D183C"/>
    <w:rsid w:val="007D46E5"/>
    <w:rsid w:val="007D7CAD"/>
    <w:rsid w:val="007E1F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5659"/>
    <w:rsid w:val="007F7CE8"/>
    <w:rsid w:val="00804BFF"/>
    <w:rsid w:val="008074FF"/>
    <w:rsid w:val="008077A5"/>
    <w:rsid w:val="0081537D"/>
    <w:rsid w:val="00815ACB"/>
    <w:rsid w:val="00815B66"/>
    <w:rsid w:val="008164B2"/>
    <w:rsid w:val="00822C52"/>
    <w:rsid w:val="008328A4"/>
    <w:rsid w:val="00836F51"/>
    <w:rsid w:val="00836FBF"/>
    <w:rsid w:val="00842FE6"/>
    <w:rsid w:val="00846D2D"/>
    <w:rsid w:val="00847C1D"/>
    <w:rsid w:val="00853760"/>
    <w:rsid w:val="00854AEE"/>
    <w:rsid w:val="008575CB"/>
    <w:rsid w:val="008612F6"/>
    <w:rsid w:val="00861F52"/>
    <w:rsid w:val="00862C17"/>
    <w:rsid w:val="00862C2C"/>
    <w:rsid w:val="00866BD8"/>
    <w:rsid w:val="00867E3C"/>
    <w:rsid w:val="008721AA"/>
    <w:rsid w:val="00877396"/>
    <w:rsid w:val="008776A4"/>
    <w:rsid w:val="00880E51"/>
    <w:rsid w:val="00886346"/>
    <w:rsid w:val="00891CB3"/>
    <w:rsid w:val="008961BD"/>
    <w:rsid w:val="008A04A9"/>
    <w:rsid w:val="008A2DFE"/>
    <w:rsid w:val="008A6415"/>
    <w:rsid w:val="008A7D18"/>
    <w:rsid w:val="008B0C7A"/>
    <w:rsid w:val="008B71AF"/>
    <w:rsid w:val="008C0463"/>
    <w:rsid w:val="008C27D6"/>
    <w:rsid w:val="008C28DE"/>
    <w:rsid w:val="008C31BE"/>
    <w:rsid w:val="008D34FB"/>
    <w:rsid w:val="008D4059"/>
    <w:rsid w:val="008D61E6"/>
    <w:rsid w:val="008D7F76"/>
    <w:rsid w:val="008E26AE"/>
    <w:rsid w:val="008E7594"/>
    <w:rsid w:val="008F029D"/>
    <w:rsid w:val="008F364E"/>
    <w:rsid w:val="008F5309"/>
    <w:rsid w:val="008F738D"/>
    <w:rsid w:val="008F7D1D"/>
    <w:rsid w:val="00901C2B"/>
    <w:rsid w:val="0090348D"/>
    <w:rsid w:val="00903D62"/>
    <w:rsid w:val="009066D2"/>
    <w:rsid w:val="00906B51"/>
    <w:rsid w:val="009107AB"/>
    <w:rsid w:val="009115DC"/>
    <w:rsid w:val="00912392"/>
    <w:rsid w:val="009135F5"/>
    <w:rsid w:val="00914A12"/>
    <w:rsid w:val="0091540F"/>
    <w:rsid w:val="0092016C"/>
    <w:rsid w:val="0092040D"/>
    <w:rsid w:val="00920FB4"/>
    <w:rsid w:val="00921772"/>
    <w:rsid w:val="00926BED"/>
    <w:rsid w:val="00927011"/>
    <w:rsid w:val="00930C7B"/>
    <w:rsid w:val="00932B42"/>
    <w:rsid w:val="009344A0"/>
    <w:rsid w:val="0093506C"/>
    <w:rsid w:val="009356B0"/>
    <w:rsid w:val="00936664"/>
    <w:rsid w:val="00936B23"/>
    <w:rsid w:val="00936CA7"/>
    <w:rsid w:val="00945790"/>
    <w:rsid w:val="00945DA7"/>
    <w:rsid w:val="00946182"/>
    <w:rsid w:val="0095162D"/>
    <w:rsid w:val="00951F41"/>
    <w:rsid w:val="00954965"/>
    <w:rsid w:val="00956524"/>
    <w:rsid w:val="00957AB2"/>
    <w:rsid w:val="009602A9"/>
    <w:rsid w:val="00964407"/>
    <w:rsid w:val="00974E31"/>
    <w:rsid w:val="0097525C"/>
    <w:rsid w:val="009752AE"/>
    <w:rsid w:val="00975334"/>
    <w:rsid w:val="00977B90"/>
    <w:rsid w:val="00981C0A"/>
    <w:rsid w:val="00993358"/>
    <w:rsid w:val="00995266"/>
    <w:rsid w:val="00997C74"/>
    <w:rsid w:val="009A1A4C"/>
    <w:rsid w:val="009B033B"/>
    <w:rsid w:val="009B2138"/>
    <w:rsid w:val="009B3671"/>
    <w:rsid w:val="009C0A81"/>
    <w:rsid w:val="009C306A"/>
    <w:rsid w:val="009C3BE3"/>
    <w:rsid w:val="009D0DD6"/>
    <w:rsid w:val="009D58C1"/>
    <w:rsid w:val="009E116B"/>
    <w:rsid w:val="009E1ADE"/>
    <w:rsid w:val="009E2289"/>
    <w:rsid w:val="009E3744"/>
    <w:rsid w:val="009E48C9"/>
    <w:rsid w:val="009E6CE9"/>
    <w:rsid w:val="009F2FCE"/>
    <w:rsid w:val="009F457F"/>
    <w:rsid w:val="00A023DA"/>
    <w:rsid w:val="00A03DB9"/>
    <w:rsid w:val="00A06E43"/>
    <w:rsid w:val="00A11817"/>
    <w:rsid w:val="00A1445B"/>
    <w:rsid w:val="00A22C69"/>
    <w:rsid w:val="00A261D2"/>
    <w:rsid w:val="00A26A87"/>
    <w:rsid w:val="00A31FF7"/>
    <w:rsid w:val="00A34FEC"/>
    <w:rsid w:val="00A35A6C"/>
    <w:rsid w:val="00A37E8B"/>
    <w:rsid w:val="00A45609"/>
    <w:rsid w:val="00A51300"/>
    <w:rsid w:val="00A52C09"/>
    <w:rsid w:val="00A532C1"/>
    <w:rsid w:val="00A54040"/>
    <w:rsid w:val="00A5713E"/>
    <w:rsid w:val="00A578E9"/>
    <w:rsid w:val="00A60886"/>
    <w:rsid w:val="00A62D81"/>
    <w:rsid w:val="00A6509A"/>
    <w:rsid w:val="00A66A21"/>
    <w:rsid w:val="00A72AAE"/>
    <w:rsid w:val="00A73BFA"/>
    <w:rsid w:val="00A758E7"/>
    <w:rsid w:val="00A761EF"/>
    <w:rsid w:val="00A762E0"/>
    <w:rsid w:val="00A815A9"/>
    <w:rsid w:val="00A81A85"/>
    <w:rsid w:val="00A83B18"/>
    <w:rsid w:val="00A84A76"/>
    <w:rsid w:val="00A86610"/>
    <w:rsid w:val="00A878B4"/>
    <w:rsid w:val="00A90429"/>
    <w:rsid w:val="00A92210"/>
    <w:rsid w:val="00A922D5"/>
    <w:rsid w:val="00A9252A"/>
    <w:rsid w:val="00A92867"/>
    <w:rsid w:val="00AA2F11"/>
    <w:rsid w:val="00AA3C4D"/>
    <w:rsid w:val="00AA4D1B"/>
    <w:rsid w:val="00AA6840"/>
    <w:rsid w:val="00AB0029"/>
    <w:rsid w:val="00AB34D6"/>
    <w:rsid w:val="00AB4D09"/>
    <w:rsid w:val="00AB6D8B"/>
    <w:rsid w:val="00AB73C9"/>
    <w:rsid w:val="00AC0EC6"/>
    <w:rsid w:val="00AC61AF"/>
    <w:rsid w:val="00AC72E5"/>
    <w:rsid w:val="00AD0689"/>
    <w:rsid w:val="00AD0A57"/>
    <w:rsid w:val="00AD2CEF"/>
    <w:rsid w:val="00AD3458"/>
    <w:rsid w:val="00AD378A"/>
    <w:rsid w:val="00AD4EB1"/>
    <w:rsid w:val="00AD54CA"/>
    <w:rsid w:val="00AD5958"/>
    <w:rsid w:val="00AE0298"/>
    <w:rsid w:val="00AE2CE3"/>
    <w:rsid w:val="00AE4EF8"/>
    <w:rsid w:val="00AE53F7"/>
    <w:rsid w:val="00AF15C4"/>
    <w:rsid w:val="00AF2F9A"/>
    <w:rsid w:val="00AF4392"/>
    <w:rsid w:val="00AF615F"/>
    <w:rsid w:val="00AF62E7"/>
    <w:rsid w:val="00B05F82"/>
    <w:rsid w:val="00B0663B"/>
    <w:rsid w:val="00B06729"/>
    <w:rsid w:val="00B07FE7"/>
    <w:rsid w:val="00B120D7"/>
    <w:rsid w:val="00B15818"/>
    <w:rsid w:val="00B163C9"/>
    <w:rsid w:val="00B213D5"/>
    <w:rsid w:val="00B214F9"/>
    <w:rsid w:val="00B2166D"/>
    <w:rsid w:val="00B239FD"/>
    <w:rsid w:val="00B24702"/>
    <w:rsid w:val="00B255D6"/>
    <w:rsid w:val="00B25B41"/>
    <w:rsid w:val="00B316F5"/>
    <w:rsid w:val="00B31B4D"/>
    <w:rsid w:val="00B31FDB"/>
    <w:rsid w:val="00B37BF3"/>
    <w:rsid w:val="00B41E1F"/>
    <w:rsid w:val="00B43A0C"/>
    <w:rsid w:val="00B44269"/>
    <w:rsid w:val="00B46E5F"/>
    <w:rsid w:val="00B515D2"/>
    <w:rsid w:val="00B524AE"/>
    <w:rsid w:val="00B55547"/>
    <w:rsid w:val="00B56D18"/>
    <w:rsid w:val="00B700DD"/>
    <w:rsid w:val="00B749A4"/>
    <w:rsid w:val="00B81953"/>
    <w:rsid w:val="00B822E9"/>
    <w:rsid w:val="00B87BDE"/>
    <w:rsid w:val="00B903DC"/>
    <w:rsid w:val="00B92267"/>
    <w:rsid w:val="00B9252B"/>
    <w:rsid w:val="00B95F46"/>
    <w:rsid w:val="00B97452"/>
    <w:rsid w:val="00BA1303"/>
    <w:rsid w:val="00BA379E"/>
    <w:rsid w:val="00BA566F"/>
    <w:rsid w:val="00BA650A"/>
    <w:rsid w:val="00BA7308"/>
    <w:rsid w:val="00BB224F"/>
    <w:rsid w:val="00BC1A6F"/>
    <w:rsid w:val="00BC34AA"/>
    <w:rsid w:val="00BC55DC"/>
    <w:rsid w:val="00BC5935"/>
    <w:rsid w:val="00BC6403"/>
    <w:rsid w:val="00BC7AD7"/>
    <w:rsid w:val="00BD1456"/>
    <w:rsid w:val="00BD21FB"/>
    <w:rsid w:val="00BD6648"/>
    <w:rsid w:val="00BE19B3"/>
    <w:rsid w:val="00BE2BEC"/>
    <w:rsid w:val="00BE33D7"/>
    <w:rsid w:val="00BE4ABC"/>
    <w:rsid w:val="00BE576A"/>
    <w:rsid w:val="00BF0B19"/>
    <w:rsid w:val="00BF4CC4"/>
    <w:rsid w:val="00BF679D"/>
    <w:rsid w:val="00BF747B"/>
    <w:rsid w:val="00C003EC"/>
    <w:rsid w:val="00C007A1"/>
    <w:rsid w:val="00C01C8A"/>
    <w:rsid w:val="00C1213D"/>
    <w:rsid w:val="00C12262"/>
    <w:rsid w:val="00C20E32"/>
    <w:rsid w:val="00C2192F"/>
    <w:rsid w:val="00C24BB0"/>
    <w:rsid w:val="00C308B3"/>
    <w:rsid w:val="00C31352"/>
    <w:rsid w:val="00C3192A"/>
    <w:rsid w:val="00C323C2"/>
    <w:rsid w:val="00C330AD"/>
    <w:rsid w:val="00C36898"/>
    <w:rsid w:val="00C37FC2"/>
    <w:rsid w:val="00C41AF0"/>
    <w:rsid w:val="00C43D06"/>
    <w:rsid w:val="00C44EA3"/>
    <w:rsid w:val="00C527E8"/>
    <w:rsid w:val="00C5307D"/>
    <w:rsid w:val="00C5755F"/>
    <w:rsid w:val="00C72002"/>
    <w:rsid w:val="00C7204C"/>
    <w:rsid w:val="00C73F08"/>
    <w:rsid w:val="00C7568B"/>
    <w:rsid w:val="00C7612C"/>
    <w:rsid w:val="00C776D0"/>
    <w:rsid w:val="00C82CB0"/>
    <w:rsid w:val="00C832BE"/>
    <w:rsid w:val="00C8349D"/>
    <w:rsid w:val="00C862A0"/>
    <w:rsid w:val="00C952B3"/>
    <w:rsid w:val="00C973E3"/>
    <w:rsid w:val="00C979BC"/>
    <w:rsid w:val="00CA2FEB"/>
    <w:rsid w:val="00CA5690"/>
    <w:rsid w:val="00CA578A"/>
    <w:rsid w:val="00CA68AD"/>
    <w:rsid w:val="00CB4479"/>
    <w:rsid w:val="00CB4FFD"/>
    <w:rsid w:val="00CB50C8"/>
    <w:rsid w:val="00CB6953"/>
    <w:rsid w:val="00CC0937"/>
    <w:rsid w:val="00CC7C44"/>
    <w:rsid w:val="00CD305B"/>
    <w:rsid w:val="00CE34A9"/>
    <w:rsid w:val="00CE5256"/>
    <w:rsid w:val="00CE5A46"/>
    <w:rsid w:val="00CF180E"/>
    <w:rsid w:val="00CF2EB0"/>
    <w:rsid w:val="00CF3D30"/>
    <w:rsid w:val="00CF5397"/>
    <w:rsid w:val="00CF5554"/>
    <w:rsid w:val="00CF5732"/>
    <w:rsid w:val="00D00BCA"/>
    <w:rsid w:val="00D06674"/>
    <w:rsid w:val="00D104ED"/>
    <w:rsid w:val="00D1242A"/>
    <w:rsid w:val="00D21B5D"/>
    <w:rsid w:val="00D2211F"/>
    <w:rsid w:val="00D22505"/>
    <w:rsid w:val="00D243C0"/>
    <w:rsid w:val="00D2694A"/>
    <w:rsid w:val="00D307B8"/>
    <w:rsid w:val="00D30F46"/>
    <w:rsid w:val="00D37EBE"/>
    <w:rsid w:val="00D47033"/>
    <w:rsid w:val="00D47D4A"/>
    <w:rsid w:val="00D53089"/>
    <w:rsid w:val="00D54DF8"/>
    <w:rsid w:val="00D5584C"/>
    <w:rsid w:val="00D56CF4"/>
    <w:rsid w:val="00D60211"/>
    <w:rsid w:val="00D62888"/>
    <w:rsid w:val="00D62A6B"/>
    <w:rsid w:val="00D65024"/>
    <w:rsid w:val="00D67203"/>
    <w:rsid w:val="00D67D5E"/>
    <w:rsid w:val="00D70AFF"/>
    <w:rsid w:val="00D70C46"/>
    <w:rsid w:val="00D714E0"/>
    <w:rsid w:val="00D73FDA"/>
    <w:rsid w:val="00D7406B"/>
    <w:rsid w:val="00D77384"/>
    <w:rsid w:val="00D819BE"/>
    <w:rsid w:val="00D81C9A"/>
    <w:rsid w:val="00D85582"/>
    <w:rsid w:val="00D92ADB"/>
    <w:rsid w:val="00D93FCA"/>
    <w:rsid w:val="00D965B8"/>
    <w:rsid w:val="00DA1235"/>
    <w:rsid w:val="00DA2E5E"/>
    <w:rsid w:val="00DA6920"/>
    <w:rsid w:val="00DB397E"/>
    <w:rsid w:val="00DB403D"/>
    <w:rsid w:val="00DB62E8"/>
    <w:rsid w:val="00DB68F9"/>
    <w:rsid w:val="00DC2B5A"/>
    <w:rsid w:val="00DC393F"/>
    <w:rsid w:val="00DC436C"/>
    <w:rsid w:val="00DC6819"/>
    <w:rsid w:val="00DC68B0"/>
    <w:rsid w:val="00DC730B"/>
    <w:rsid w:val="00DC75F0"/>
    <w:rsid w:val="00DD059C"/>
    <w:rsid w:val="00DD1D68"/>
    <w:rsid w:val="00DD1ED0"/>
    <w:rsid w:val="00DE5243"/>
    <w:rsid w:val="00DF0674"/>
    <w:rsid w:val="00DF33BF"/>
    <w:rsid w:val="00DF467A"/>
    <w:rsid w:val="00DF649C"/>
    <w:rsid w:val="00E04D04"/>
    <w:rsid w:val="00E14897"/>
    <w:rsid w:val="00E2452C"/>
    <w:rsid w:val="00E30147"/>
    <w:rsid w:val="00E31DE2"/>
    <w:rsid w:val="00E328CA"/>
    <w:rsid w:val="00E34EBC"/>
    <w:rsid w:val="00E37D2B"/>
    <w:rsid w:val="00E40D1F"/>
    <w:rsid w:val="00E4361E"/>
    <w:rsid w:val="00E4372D"/>
    <w:rsid w:val="00E45114"/>
    <w:rsid w:val="00E55850"/>
    <w:rsid w:val="00E60460"/>
    <w:rsid w:val="00E604AB"/>
    <w:rsid w:val="00E60DDD"/>
    <w:rsid w:val="00E64900"/>
    <w:rsid w:val="00E734A8"/>
    <w:rsid w:val="00E73E5C"/>
    <w:rsid w:val="00E76585"/>
    <w:rsid w:val="00E8411B"/>
    <w:rsid w:val="00E91B9C"/>
    <w:rsid w:val="00E9236B"/>
    <w:rsid w:val="00E929CA"/>
    <w:rsid w:val="00E92ACA"/>
    <w:rsid w:val="00E936AF"/>
    <w:rsid w:val="00E9547E"/>
    <w:rsid w:val="00EA6F8A"/>
    <w:rsid w:val="00EB0AEC"/>
    <w:rsid w:val="00EB1D42"/>
    <w:rsid w:val="00EB5A01"/>
    <w:rsid w:val="00EC0E78"/>
    <w:rsid w:val="00EC1F74"/>
    <w:rsid w:val="00EC36FC"/>
    <w:rsid w:val="00EC7A36"/>
    <w:rsid w:val="00ED053F"/>
    <w:rsid w:val="00ED24B0"/>
    <w:rsid w:val="00ED35C6"/>
    <w:rsid w:val="00ED3E7D"/>
    <w:rsid w:val="00ED440D"/>
    <w:rsid w:val="00ED6FA0"/>
    <w:rsid w:val="00ED7A03"/>
    <w:rsid w:val="00ED7B15"/>
    <w:rsid w:val="00EE122F"/>
    <w:rsid w:val="00EE2457"/>
    <w:rsid w:val="00EE3F55"/>
    <w:rsid w:val="00EE6FD2"/>
    <w:rsid w:val="00EF2BCA"/>
    <w:rsid w:val="00EF570F"/>
    <w:rsid w:val="00F00125"/>
    <w:rsid w:val="00F05956"/>
    <w:rsid w:val="00F06BBA"/>
    <w:rsid w:val="00F107D0"/>
    <w:rsid w:val="00F12EF3"/>
    <w:rsid w:val="00F1357F"/>
    <w:rsid w:val="00F1543C"/>
    <w:rsid w:val="00F16035"/>
    <w:rsid w:val="00F17BA2"/>
    <w:rsid w:val="00F2677B"/>
    <w:rsid w:val="00F359B8"/>
    <w:rsid w:val="00F36D37"/>
    <w:rsid w:val="00F36D84"/>
    <w:rsid w:val="00F4043B"/>
    <w:rsid w:val="00F41599"/>
    <w:rsid w:val="00F43943"/>
    <w:rsid w:val="00F442FB"/>
    <w:rsid w:val="00F47C45"/>
    <w:rsid w:val="00F516CF"/>
    <w:rsid w:val="00F558F9"/>
    <w:rsid w:val="00F61942"/>
    <w:rsid w:val="00F64A93"/>
    <w:rsid w:val="00F6664E"/>
    <w:rsid w:val="00F70FC9"/>
    <w:rsid w:val="00F70FFF"/>
    <w:rsid w:val="00F720E7"/>
    <w:rsid w:val="00F73B38"/>
    <w:rsid w:val="00F8185D"/>
    <w:rsid w:val="00F81EEC"/>
    <w:rsid w:val="00F83ED4"/>
    <w:rsid w:val="00F84685"/>
    <w:rsid w:val="00F84868"/>
    <w:rsid w:val="00F878A2"/>
    <w:rsid w:val="00F91EDC"/>
    <w:rsid w:val="00F97334"/>
    <w:rsid w:val="00FA0D11"/>
    <w:rsid w:val="00FB1182"/>
    <w:rsid w:val="00FB2309"/>
    <w:rsid w:val="00FB2A26"/>
    <w:rsid w:val="00FB327C"/>
    <w:rsid w:val="00FB3D92"/>
    <w:rsid w:val="00FB5A2A"/>
    <w:rsid w:val="00FB6717"/>
    <w:rsid w:val="00FC373D"/>
    <w:rsid w:val="00FC3E66"/>
    <w:rsid w:val="00FC5358"/>
    <w:rsid w:val="00FC53E2"/>
    <w:rsid w:val="00FD4ECA"/>
    <w:rsid w:val="00FD6F49"/>
    <w:rsid w:val="00FE067F"/>
    <w:rsid w:val="00FE142C"/>
    <w:rsid w:val="00FE62B5"/>
    <w:rsid w:val="00FE67EC"/>
    <w:rsid w:val="00FE7F3B"/>
    <w:rsid w:val="00FF3358"/>
    <w:rsid w:val="00FF4CD3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1092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Brown, Michele (Roy)</cp:lastModifiedBy>
  <cp:revision>10</cp:revision>
  <cp:lastPrinted>2015-12-02T14:25:00Z</cp:lastPrinted>
  <dcterms:created xsi:type="dcterms:W3CDTF">2017-03-08T14:12:00Z</dcterms:created>
  <dcterms:modified xsi:type="dcterms:W3CDTF">2017-03-08T14:28:00Z</dcterms:modified>
</cp:coreProperties>
</file>