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424" w:rsidRDefault="00B31424" w:rsidP="00B31424">
      <w:pPr>
        <w:pStyle w:val="NormalWeb"/>
        <w:rPr>
          <w:rFonts w:ascii="Century Gothic" w:hAnsi="Century Gothic"/>
          <w:color w:val="666666"/>
        </w:rPr>
      </w:pPr>
      <w:r>
        <w:rPr>
          <w:rFonts w:ascii="Century Gothic" w:hAnsi="Century Gothic"/>
          <w:noProof/>
          <w:color w:val="666666"/>
        </w:rPr>
        <w:drawing>
          <wp:inline distT="0" distB="0" distL="0" distR="0" wp14:anchorId="677A9F17" wp14:editId="663619FB">
            <wp:extent cx="4738370" cy="2933065"/>
            <wp:effectExtent l="0" t="0" r="5080" b="635"/>
            <wp:docPr id="1" name="Picture 1" descr="http://echo4.bluehornet.com/cimages/e3d5a044fad64fa6e535cd731ff5971e/twopeopletalkingr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ho4.bluehornet.com/cimages/e3d5a044fad64fa6e535cd731ff5971e/twopeopletalkingrsz.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8370" cy="2933065"/>
                    </a:xfrm>
                    <a:prstGeom prst="rect">
                      <a:avLst/>
                    </a:prstGeom>
                    <a:noFill/>
                    <a:ln>
                      <a:noFill/>
                    </a:ln>
                  </pic:spPr>
                </pic:pic>
              </a:graphicData>
            </a:graphic>
          </wp:inline>
        </w:drawing>
      </w:r>
      <w:r>
        <w:rPr>
          <w:rStyle w:val="Strong"/>
          <w:rFonts w:ascii="Century Gothic" w:hAnsi="Century Gothic"/>
          <w:color w:val="666666"/>
          <w:sz w:val="27"/>
          <w:szCs w:val="27"/>
        </w:rPr>
        <w:t xml:space="preserve">Part of integrating primary and behavioral health care is learning how to talk about health conditions in a holistic way. Sample scripts can help guide providers and patients alike in making communication seamless – from addressing specific health topics to explaining what integrated care is and keeping team members informed. </w:t>
      </w:r>
      <w:r>
        <w:rPr>
          <w:rFonts w:ascii="Century Gothic" w:hAnsi="Century Gothic"/>
          <w:b/>
          <w:bCs/>
          <w:color w:val="666666"/>
        </w:rPr>
        <w:br/>
      </w:r>
      <w:r>
        <w:rPr>
          <w:rFonts w:ascii="Century Gothic" w:hAnsi="Century Gothic"/>
          <w:color w:val="666666"/>
        </w:rPr>
        <w:t> </w:t>
      </w:r>
      <w:r>
        <w:rPr>
          <w:rFonts w:ascii="Century Gothic" w:hAnsi="Century Gothic"/>
          <w:color w:val="666666"/>
        </w:rPr>
        <w:br/>
      </w:r>
      <w:r>
        <w:rPr>
          <w:rStyle w:val="Strong"/>
          <w:rFonts w:ascii="Century Gothic" w:hAnsi="Century Gothic"/>
          <w:color w:val="800000"/>
        </w:rPr>
        <w:t>TIPS FOR TALKING ABOUT SPECIFIC ASPECTS OF HEALTH AND MENTAL HEALTH</w:t>
      </w:r>
      <w:r>
        <w:rPr>
          <w:rFonts w:ascii="Century Gothic" w:hAnsi="Century Gothic"/>
          <w:color w:val="666666"/>
        </w:rPr>
        <w:br/>
      </w:r>
      <w:hyperlink r:id="rId6" w:history="1">
        <w:r>
          <w:rPr>
            <w:rStyle w:val="Hyperlink"/>
            <w:rFonts w:ascii="Century Gothic" w:hAnsi="Century Gothic"/>
            <w:color w:val="EB9244"/>
            <w:u w:val="none"/>
          </w:rPr>
          <w:t>Help and Healing: Resources for Depression Care and Recovery</w:t>
        </w:r>
      </w:hyperlink>
      <w:r>
        <w:rPr>
          <w:rFonts w:ascii="Century Gothic" w:hAnsi="Century Gothic"/>
          <w:color w:val="666666"/>
        </w:rPr>
        <w:t xml:space="preserve"> provides talking points for team care, strategies for patient and family education, and fact sheets on depression. </w:t>
      </w:r>
      <w:r>
        <w:rPr>
          <w:rFonts w:ascii="Century Gothic" w:hAnsi="Century Gothic"/>
          <w:color w:val="666666"/>
        </w:rPr>
        <w:br/>
      </w:r>
      <w:r>
        <w:rPr>
          <w:rFonts w:ascii="Century Gothic" w:hAnsi="Century Gothic"/>
          <w:color w:val="666666"/>
        </w:rPr>
        <w:br/>
      </w:r>
      <w:hyperlink r:id="rId7" w:history="1">
        <w:r>
          <w:rPr>
            <w:rStyle w:val="Hyperlink"/>
            <w:rFonts w:ascii="Century Gothic" w:hAnsi="Century Gothic"/>
            <w:color w:val="EB9244"/>
            <w:u w:val="none"/>
          </w:rPr>
          <w:t>Sample Motivational Interviewing Questions and Statements</w:t>
        </w:r>
      </w:hyperlink>
      <w:r>
        <w:rPr>
          <w:rFonts w:ascii="Century Gothic" w:hAnsi="Century Gothic"/>
          <w:color w:val="666666"/>
        </w:rPr>
        <w:t xml:space="preserve"> can help primary care clinicians and other providers get acquainted with the technique and review statements that encourage collaborative dialogue, reflective listening and behavior change. </w:t>
      </w:r>
      <w:r>
        <w:rPr>
          <w:rFonts w:ascii="Century Gothic" w:hAnsi="Century Gothic"/>
          <w:color w:val="666666"/>
        </w:rPr>
        <w:br/>
        <w:t> </w:t>
      </w:r>
      <w:r>
        <w:rPr>
          <w:rFonts w:ascii="Century Gothic" w:hAnsi="Century Gothic"/>
          <w:color w:val="666666"/>
        </w:rPr>
        <w:br/>
        <w:t xml:space="preserve">The </w:t>
      </w:r>
      <w:hyperlink r:id="rId8" w:history="1">
        <w:r>
          <w:rPr>
            <w:rStyle w:val="Hyperlink"/>
            <w:rFonts w:ascii="Century Gothic" w:hAnsi="Century Gothic"/>
            <w:color w:val="EB9244"/>
            <w:u w:val="none"/>
          </w:rPr>
          <w:t>Alcohol Screening and Brief Intervention Guide</w:t>
        </w:r>
      </w:hyperlink>
      <w:r>
        <w:rPr>
          <w:rFonts w:ascii="Century Gothic" w:hAnsi="Century Gothic"/>
          <w:color w:val="666666"/>
        </w:rPr>
        <w:t xml:space="preserve"> for public health practitioners </w:t>
      </w:r>
      <w:proofErr w:type="gramStart"/>
      <w:r>
        <w:rPr>
          <w:rFonts w:ascii="Century Gothic" w:hAnsi="Century Gothic"/>
          <w:color w:val="666666"/>
        </w:rPr>
        <w:t>includes</w:t>
      </w:r>
      <w:proofErr w:type="gramEnd"/>
      <w:r>
        <w:rPr>
          <w:rFonts w:ascii="Century Gothic" w:hAnsi="Century Gothic"/>
          <w:color w:val="666666"/>
        </w:rPr>
        <w:t xml:space="preserve"> a step-by-step breakdown of how to conduct a screening for alcohol use, including talking points to appropriately discuss low risk drinking. </w:t>
      </w:r>
      <w:r>
        <w:rPr>
          <w:rFonts w:ascii="Century Gothic" w:hAnsi="Century Gothic"/>
          <w:color w:val="666666"/>
        </w:rPr>
        <w:br/>
      </w:r>
      <w:r>
        <w:rPr>
          <w:rFonts w:ascii="Century Gothic" w:hAnsi="Century Gothic"/>
          <w:color w:val="666666"/>
        </w:rPr>
        <w:br/>
        <w:t xml:space="preserve">The National Institute on Drug Abuse’s resource guide for </w:t>
      </w:r>
      <w:hyperlink r:id="rId9" w:history="1">
        <w:r>
          <w:rPr>
            <w:rStyle w:val="Hyperlink"/>
            <w:rFonts w:ascii="Century Gothic" w:hAnsi="Century Gothic"/>
            <w:color w:val="EB9244"/>
            <w:u w:val="none"/>
          </w:rPr>
          <w:t>Screening for Drug Use in General Medical Settings</w:t>
        </w:r>
      </w:hyperlink>
      <w:r>
        <w:rPr>
          <w:rFonts w:ascii="Century Gothic" w:hAnsi="Century Gothic"/>
          <w:color w:val="666666"/>
        </w:rPr>
        <w:t xml:space="preserve"> outlines prompts for asking patients about drug use. </w:t>
      </w:r>
      <w:r>
        <w:rPr>
          <w:rFonts w:ascii="Century Gothic" w:hAnsi="Century Gothic"/>
          <w:color w:val="666666"/>
        </w:rPr>
        <w:br/>
        <w:t> </w:t>
      </w:r>
      <w:r>
        <w:rPr>
          <w:rFonts w:ascii="Century Gothic" w:hAnsi="Century Gothic"/>
          <w:color w:val="666666"/>
        </w:rPr>
        <w:br/>
        <w:t xml:space="preserve">Learn how to bring up the spiritual aspect of a person’s health, including some suggested questions, in the </w:t>
      </w:r>
      <w:hyperlink r:id="rId10" w:history="1">
        <w:r>
          <w:rPr>
            <w:rStyle w:val="Hyperlink"/>
            <w:rFonts w:ascii="Century Gothic" w:hAnsi="Century Gothic"/>
            <w:color w:val="EB9244"/>
            <w:u w:val="none"/>
          </w:rPr>
          <w:t>addressing spirituality</w:t>
        </w:r>
      </w:hyperlink>
      <w:r>
        <w:rPr>
          <w:rFonts w:ascii="Century Gothic" w:hAnsi="Century Gothic"/>
          <w:color w:val="666666"/>
        </w:rPr>
        <w:t xml:space="preserve"> edition of our </w:t>
      </w:r>
      <w:proofErr w:type="spellStart"/>
      <w:r>
        <w:rPr>
          <w:rFonts w:ascii="Century Gothic" w:hAnsi="Century Gothic"/>
          <w:color w:val="666666"/>
        </w:rPr>
        <w:t>eSolutions</w:t>
      </w:r>
      <w:proofErr w:type="spellEnd"/>
      <w:r>
        <w:rPr>
          <w:rFonts w:ascii="Century Gothic" w:hAnsi="Century Gothic"/>
          <w:color w:val="666666"/>
        </w:rPr>
        <w:t xml:space="preserve"> newsletter. </w:t>
      </w:r>
      <w:r>
        <w:rPr>
          <w:rFonts w:ascii="Century Gothic" w:hAnsi="Century Gothic"/>
          <w:color w:val="666666"/>
        </w:rPr>
        <w:br/>
      </w:r>
      <w:r>
        <w:rPr>
          <w:rFonts w:ascii="Century Gothic" w:hAnsi="Century Gothic"/>
          <w:color w:val="666666"/>
        </w:rPr>
        <w:br/>
      </w:r>
      <w:r>
        <w:rPr>
          <w:rFonts w:ascii="Century Gothic" w:hAnsi="Century Gothic"/>
          <w:color w:val="666666"/>
        </w:rPr>
        <w:lastRenderedPageBreak/>
        <w:t xml:space="preserve">AHRQ’s </w:t>
      </w:r>
      <w:hyperlink r:id="rId11" w:history="1">
        <w:r>
          <w:rPr>
            <w:rStyle w:val="Hyperlink"/>
            <w:rFonts w:ascii="Century Gothic" w:hAnsi="Century Gothic"/>
            <w:color w:val="EB9244"/>
            <w:u w:val="none"/>
          </w:rPr>
          <w:t>SHARE Approach</w:t>
        </w:r>
      </w:hyperlink>
      <w:r>
        <w:rPr>
          <w:rFonts w:ascii="Century Gothic" w:hAnsi="Century Gothic"/>
          <w:color w:val="666666"/>
        </w:rPr>
        <w:t xml:space="preserve"> is a five-step process for shared decision making that includes resources for clinicians and patients on how to engage in meaningful dialogue about what matters most to the patient by exploring and comparing the benefits, harms and risks of health care decisions. </w:t>
      </w:r>
      <w:r>
        <w:rPr>
          <w:rFonts w:ascii="Century Gothic" w:hAnsi="Century Gothic"/>
          <w:color w:val="666666"/>
        </w:rPr>
        <w:br/>
        <w:t> </w:t>
      </w:r>
      <w:r>
        <w:rPr>
          <w:rFonts w:ascii="Century Gothic" w:hAnsi="Century Gothic"/>
          <w:color w:val="666666"/>
        </w:rPr>
        <w:br/>
      </w:r>
      <w:r>
        <w:rPr>
          <w:rStyle w:val="Strong"/>
          <w:rFonts w:ascii="Century Gothic" w:hAnsi="Century Gothic"/>
          <w:color w:val="800000"/>
        </w:rPr>
        <w:t>IMPROVING TEAM COMMUNICATION</w:t>
      </w:r>
      <w:r>
        <w:rPr>
          <w:rFonts w:ascii="Century Gothic" w:hAnsi="Century Gothic"/>
          <w:color w:val="666666"/>
        </w:rPr>
        <w:br/>
        <w:t xml:space="preserve">California’s Integrated Behavioral Health Project created a series of </w:t>
      </w:r>
      <w:hyperlink r:id="rId12" w:history="1">
        <w:r>
          <w:rPr>
            <w:rStyle w:val="Hyperlink"/>
            <w:rFonts w:ascii="Century Gothic" w:hAnsi="Century Gothic"/>
            <w:color w:val="EB9244"/>
            <w:u w:val="none"/>
          </w:rPr>
          <w:t>Sample Scripts and Procedures</w:t>
        </w:r>
      </w:hyperlink>
      <w:r>
        <w:rPr>
          <w:rFonts w:ascii="Century Gothic" w:hAnsi="Century Gothic"/>
          <w:color w:val="666666"/>
        </w:rPr>
        <w:t> for ensuring successful warm hand-offs between primary and behavioral health care staff.</w:t>
      </w:r>
      <w:r>
        <w:rPr>
          <w:rFonts w:ascii="Century Gothic" w:hAnsi="Century Gothic"/>
          <w:color w:val="666666"/>
        </w:rPr>
        <w:br/>
        <w:t> </w:t>
      </w:r>
      <w:r>
        <w:rPr>
          <w:rFonts w:ascii="Century Gothic" w:hAnsi="Century Gothic"/>
          <w:color w:val="666666"/>
        </w:rPr>
        <w:br/>
        <w:t xml:space="preserve">Behavioral health providers can brush up on how to share relevant patient information with primary care providers by reviewing the Institute for Healthcare Improvement’s </w:t>
      </w:r>
      <w:hyperlink r:id="rId13" w:history="1">
        <w:r>
          <w:rPr>
            <w:rStyle w:val="Hyperlink"/>
            <w:rFonts w:ascii="Century Gothic" w:hAnsi="Century Gothic"/>
            <w:color w:val="EB9244"/>
            <w:u w:val="none"/>
          </w:rPr>
          <w:t>SBAR Technique for Communication tool</w:t>
        </w:r>
      </w:hyperlink>
      <w:r>
        <w:rPr>
          <w:rFonts w:ascii="Century Gothic" w:hAnsi="Century Gothic"/>
          <w:color w:val="666666"/>
        </w:rPr>
        <w:t xml:space="preserve">. </w:t>
      </w:r>
      <w:r>
        <w:rPr>
          <w:rFonts w:ascii="Century Gothic" w:hAnsi="Century Gothic"/>
          <w:color w:val="666666"/>
        </w:rPr>
        <w:br/>
      </w:r>
      <w:r>
        <w:rPr>
          <w:rFonts w:ascii="Century Gothic" w:hAnsi="Century Gothic"/>
          <w:color w:val="666666"/>
        </w:rPr>
        <w:br/>
        <w:t xml:space="preserve">The </w:t>
      </w:r>
      <w:hyperlink r:id="rId14" w:history="1">
        <w:r>
          <w:rPr>
            <w:rStyle w:val="Hyperlink"/>
            <w:rFonts w:ascii="Century Gothic" w:hAnsi="Century Gothic"/>
            <w:color w:val="EB9244"/>
            <w:u w:val="none"/>
          </w:rPr>
          <w:t>Primary Behavioral Health Care Practice Services Manual</w:t>
        </w:r>
      </w:hyperlink>
      <w:r>
        <w:rPr>
          <w:rFonts w:ascii="Century Gothic" w:hAnsi="Century Gothic"/>
          <w:color w:val="666666"/>
        </w:rPr>
        <w:t xml:space="preserve"> includes a sample introductory script for a Behavioral Health Consultant in a primary care setting (see appendix 2) to explain their role to the individual receiving care.</w:t>
      </w:r>
      <w:r>
        <w:rPr>
          <w:rFonts w:ascii="Century Gothic" w:hAnsi="Century Gothic"/>
          <w:color w:val="666666"/>
        </w:rPr>
        <w:br/>
      </w:r>
      <w:r>
        <w:rPr>
          <w:rFonts w:ascii="Century Gothic" w:hAnsi="Century Gothic"/>
          <w:color w:val="666666"/>
        </w:rPr>
        <w:br/>
      </w:r>
      <w:r>
        <w:rPr>
          <w:rStyle w:val="Strong"/>
          <w:rFonts w:ascii="Century Gothic" w:hAnsi="Century Gothic"/>
          <w:color w:val="800000"/>
        </w:rPr>
        <w:t>HELP PATIENTS AND FAMILIES BE PREPARED, TOO</w:t>
      </w:r>
      <w:r>
        <w:rPr>
          <w:rFonts w:ascii="Century Gothic" w:hAnsi="Century Gothic"/>
          <w:color w:val="666666"/>
        </w:rPr>
        <w:br/>
        <w:t xml:space="preserve">Individuals can use resources such as AHRQ’s </w:t>
      </w:r>
      <w:hyperlink r:id="rId15" w:history="1">
        <w:r>
          <w:rPr>
            <w:rStyle w:val="Hyperlink"/>
            <w:rFonts w:ascii="Century Gothic" w:hAnsi="Century Gothic"/>
            <w:color w:val="EB9244"/>
            <w:u w:val="none"/>
          </w:rPr>
          <w:t>Question Builder</w:t>
        </w:r>
      </w:hyperlink>
      <w:r>
        <w:rPr>
          <w:rFonts w:ascii="Century Gothic" w:hAnsi="Century Gothic"/>
          <w:color w:val="666666"/>
        </w:rPr>
        <w:t xml:space="preserve"> to prepare a list of questions for their next medical appointment or the National Center for Complementary and Alternative Medicine’s </w:t>
      </w:r>
      <w:hyperlink r:id="rId16" w:history="1">
        <w:r>
          <w:rPr>
            <w:rStyle w:val="Hyperlink"/>
            <w:rFonts w:ascii="Century Gothic" w:hAnsi="Century Gothic"/>
            <w:color w:val="EB9244"/>
            <w:u w:val="none"/>
          </w:rPr>
          <w:t>Questions to Ask</w:t>
        </w:r>
      </w:hyperlink>
      <w:r>
        <w:rPr>
          <w:rFonts w:ascii="Century Gothic" w:hAnsi="Century Gothic"/>
          <w:color w:val="666666"/>
        </w:rPr>
        <w:t xml:space="preserve"> to start a discussion about alternative treatments. </w:t>
      </w:r>
      <w:r>
        <w:rPr>
          <w:rFonts w:ascii="Century Gothic" w:hAnsi="Century Gothic"/>
          <w:color w:val="666666"/>
        </w:rPr>
        <w:br/>
      </w:r>
      <w:r>
        <w:rPr>
          <w:rFonts w:ascii="Century Gothic" w:hAnsi="Century Gothic"/>
          <w:color w:val="666666"/>
        </w:rPr>
        <w:br/>
        <w:t xml:space="preserve">The Joint Commission’s </w:t>
      </w:r>
      <w:hyperlink r:id="rId17" w:history="1">
        <w:r>
          <w:rPr>
            <w:rStyle w:val="Hyperlink"/>
            <w:rFonts w:ascii="Century Gothic" w:hAnsi="Century Gothic"/>
            <w:color w:val="EB9244"/>
            <w:u w:val="none"/>
          </w:rPr>
          <w:t>Speak Up</w:t>
        </w:r>
      </w:hyperlink>
      <w:r>
        <w:rPr>
          <w:rFonts w:ascii="Century Gothic" w:hAnsi="Century Gothic"/>
          <w:color w:val="666666"/>
        </w:rPr>
        <w:t xml:space="preserve">™ patient safety program materials encourage patients to ask, participate and engage with providers at every step of their care. </w:t>
      </w:r>
      <w:r>
        <w:rPr>
          <w:rFonts w:ascii="Century Gothic" w:hAnsi="Century Gothic"/>
          <w:color w:val="666666"/>
        </w:rPr>
        <w:br/>
      </w:r>
      <w:r>
        <w:rPr>
          <w:rFonts w:ascii="Century Gothic" w:hAnsi="Century Gothic"/>
          <w:color w:val="666666"/>
        </w:rPr>
        <w:br/>
        <w:t xml:space="preserve">The Whole Health Action Management curriculum </w:t>
      </w:r>
      <w:hyperlink r:id="rId18" w:history="1">
        <w:proofErr w:type="gramStart"/>
        <w:r>
          <w:rPr>
            <w:rStyle w:val="Hyperlink"/>
            <w:rFonts w:ascii="Century Gothic" w:hAnsi="Century Gothic"/>
            <w:color w:val="EB9244"/>
            <w:u w:val="none"/>
          </w:rPr>
          <w:t>handouts</w:t>
        </w:r>
      </w:hyperlink>
      <w:r>
        <w:rPr>
          <w:rFonts w:ascii="Century Gothic" w:hAnsi="Century Gothic"/>
          <w:color w:val="666666"/>
        </w:rPr>
        <w:t xml:space="preserve"> include scenarios to role play shared decision-making, outlines</w:t>
      </w:r>
      <w:proofErr w:type="gramEnd"/>
      <w:r>
        <w:rPr>
          <w:rFonts w:ascii="Century Gothic" w:hAnsi="Century Gothic"/>
          <w:color w:val="666666"/>
        </w:rPr>
        <w:t xml:space="preserve"> important questions to ask about medical tests and tips for getting ready for doctor’s appointments.</w:t>
      </w:r>
      <w:r>
        <w:rPr>
          <w:rFonts w:ascii="Century Gothic" w:hAnsi="Century Gothic"/>
          <w:color w:val="666666"/>
        </w:rPr>
        <w:br/>
        <w:t> </w:t>
      </w:r>
      <w:r>
        <w:rPr>
          <w:rFonts w:ascii="Century Gothic" w:hAnsi="Century Gothic"/>
          <w:color w:val="666666"/>
        </w:rPr>
        <w:br/>
        <w:t xml:space="preserve">Parents can look to page 19 of the National Alliance for Mental Illness’ </w:t>
      </w:r>
      <w:hyperlink r:id="rId19" w:history="1">
        <w:r>
          <w:rPr>
            <w:rStyle w:val="Hyperlink"/>
            <w:rFonts w:ascii="Century Gothic" w:hAnsi="Century Gothic"/>
            <w:color w:val="EB9244"/>
            <w:u w:val="none"/>
          </w:rPr>
          <w:t>Family Guide to Integrating Mental Health and Pediatric Primary Care</w:t>
        </w:r>
      </w:hyperlink>
      <w:r>
        <w:rPr>
          <w:rFonts w:ascii="Century Gothic" w:hAnsi="Century Gothic"/>
          <w:color w:val="666666"/>
        </w:rPr>
        <w:t xml:space="preserve"> for a sample list of questions to ask pediatricians about features of integrated care. </w:t>
      </w:r>
      <w:r>
        <w:rPr>
          <w:rFonts w:ascii="Century Gothic" w:hAnsi="Century Gothic"/>
          <w:color w:val="666666"/>
        </w:rPr>
        <w:br/>
        <w:t> </w:t>
      </w:r>
      <w:r>
        <w:rPr>
          <w:rFonts w:ascii="Century Gothic" w:hAnsi="Century Gothic"/>
          <w:color w:val="666666"/>
        </w:rPr>
        <w:br/>
      </w:r>
      <w:r>
        <w:rPr>
          <w:rStyle w:val="Emphasis"/>
          <w:rFonts w:ascii="Century Gothic" w:hAnsi="Century Gothic"/>
          <w:color w:val="666666"/>
        </w:rPr>
        <w:t>What other resources help you or the people you serve to talk about integrated care? Let us know, email </w:t>
      </w:r>
      <w:hyperlink r:id="rId20" w:history="1">
        <w:r>
          <w:rPr>
            <w:rStyle w:val="Hyperlink"/>
            <w:rFonts w:ascii="Century Gothic" w:hAnsi="Century Gothic"/>
            <w:i/>
            <w:iCs/>
            <w:color w:val="EB9244"/>
            <w:u w:val="none"/>
          </w:rPr>
          <w:t>Integration@TheNationalCouncil.org</w:t>
        </w:r>
      </w:hyperlink>
      <w:r>
        <w:rPr>
          <w:rFonts w:ascii="Century Gothic" w:hAnsi="Century Gothic"/>
          <w:color w:val="666666"/>
        </w:rPr>
        <w:t>.</w:t>
      </w:r>
    </w:p>
    <w:p w:rsidR="00A36417" w:rsidRDefault="00A36417">
      <w:bookmarkStart w:id="0" w:name="_GoBack"/>
      <w:bookmarkEnd w:id="0"/>
    </w:p>
    <w:sectPr w:rsidR="00A36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24"/>
    <w:rsid w:val="00A36417"/>
    <w:rsid w:val="00B31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42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1424"/>
    <w:rPr>
      <w:color w:val="0000FF"/>
      <w:u w:val="single"/>
    </w:rPr>
  </w:style>
  <w:style w:type="paragraph" w:styleId="NormalWeb">
    <w:name w:val="Normal (Web)"/>
    <w:basedOn w:val="Normal"/>
    <w:uiPriority w:val="99"/>
    <w:unhideWhenUsed/>
    <w:rsid w:val="00B31424"/>
    <w:pPr>
      <w:spacing w:before="100" w:beforeAutospacing="1" w:after="100" w:afterAutospacing="1"/>
    </w:pPr>
  </w:style>
  <w:style w:type="character" w:styleId="Strong">
    <w:name w:val="Strong"/>
    <w:basedOn w:val="DefaultParagraphFont"/>
    <w:uiPriority w:val="22"/>
    <w:qFormat/>
    <w:rsid w:val="00B31424"/>
    <w:rPr>
      <w:b/>
      <w:bCs/>
    </w:rPr>
  </w:style>
  <w:style w:type="character" w:styleId="Emphasis">
    <w:name w:val="Emphasis"/>
    <w:basedOn w:val="DefaultParagraphFont"/>
    <w:uiPriority w:val="20"/>
    <w:qFormat/>
    <w:rsid w:val="00B31424"/>
    <w:rPr>
      <w:i/>
      <w:iCs/>
    </w:rPr>
  </w:style>
  <w:style w:type="paragraph" w:styleId="BalloonText">
    <w:name w:val="Balloon Text"/>
    <w:basedOn w:val="Normal"/>
    <w:link w:val="BalloonTextChar"/>
    <w:uiPriority w:val="99"/>
    <w:semiHidden/>
    <w:unhideWhenUsed/>
    <w:rsid w:val="00B31424"/>
    <w:rPr>
      <w:rFonts w:ascii="Tahoma" w:hAnsi="Tahoma" w:cs="Tahoma"/>
      <w:sz w:val="16"/>
      <w:szCs w:val="16"/>
    </w:rPr>
  </w:style>
  <w:style w:type="character" w:customStyle="1" w:styleId="BalloonTextChar">
    <w:name w:val="Balloon Text Char"/>
    <w:basedOn w:val="DefaultParagraphFont"/>
    <w:link w:val="BalloonText"/>
    <w:uiPriority w:val="99"/>
    <w:semiHidden/>
    <w:rsid w:val="00B314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42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1424"/>
    <w:rPr>
      <w:color w:val="0000FF"/>
      <w:u w:val="single"/>
    </w:rPr>
  </w:style>
  <w:style w:type="paragraph" w:styleId="NormalWeb">
    <w:name w:val="Normal (Web)"/>
    <w:basedOn w:val="Normal"/>
    <w:uiPriority w:val="99"/>
    <w:unhideWhenUsed/>
    <w:rsid w:val="00B31424"/>
    <w:pPr>
      <w:spacing w:before="100" w:beforeAutospacing="1" w:after="100" w:afterAutospacing="1"/>
    </w:pPr>
  </w:style>
  <w:style w:type="character" w:styleId="Strong">
    <w:name w:val="Strong"/>
    <w:basedOn w:val="DefaultParagraphFont"/>
    <w:uiPriority w:val="22"/>
    <w:qFormat/>
    <w:rsid w:val="00B31424"/>
    <w:rPr>
      <w:b/>
      <w:bCs/>
    </w:rPr>
  </w:style>
  <w:style w:type="character" w:styleId="Emphasis">
    <w:name w:val="Emphasis"/>
    <w:basedOn w:val="DefaultParagraphFont"/>
    <w:uiPriority w:val="20"/>
    <w:qFormat/>
    <w:rsid w:val="00B31424"/>
    <w:rPr>
      <w:i/>
      <w:iCs/>
    </w:rPr>
  </w:style>
  <w:style w:type="paragraph" w:styleId="BalloonText">
    <w:name w:val="Balloon Text"/>
    <w:basedOn w:val="Normal"/>
    <w:link w:val="BalloonTextChar"/>
    <w:uiPriority w:val="99"/>
    <w:semiHidden/>
    <w:unhideWhenUsed/>
    <w:rsid w:val="00B31424"/>
    <w:rPr>
      <w:rFonts w:ascii="Tahoma" w:hAnsi="Tahoma" w:cs="Tahoma"/>
      <w:sz w:val="16"/>
      <w:szCs w:val="16"/>
    </w:rPr>
  </w:style>
  <w:style w:type="character" w:customStyle="1" w:styleId="BalloonTextChar">
    <w:name w:val="Balloon Text Char"/>
    <w:basedOn w:val="DefaultParagraphFont"/>
    <w:link w:val="BalloonText"/>
    <w:uiPriority w:val="99"/>
    <w:semiHidden/>
    <w:rsid w:val="00B31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54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ho4.bluehornet.com/ct/88738740:7I4_2dYEN:m:1:2725899101:A506888074A5214C5593268998D753F0:r" TargetMode="External"/><Relationship Id="rId13" Type="http://schemas.openxmlformats.org/officeDocument/2006/relationships/hyperlink" Target="http://echo4.bluehornet.com/ct/88738746:7I4_2dYEN:m:1:2725899101:A506888074A5214C5593268998D753F0:r" TargetMode="External"/><Relationship Id="rId18" Type="http://schemas.openxmlformats.org/officeDocument/2006/relationships/hyperlink" Target="http://echo4.bluehornet.com/ct/88738751:7I4_2dYEN:m:1:2725899101:A506888074A5214C5593268998D753F0: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cho4.bluehornet.com/ct/88738739:7I4_2dYEN:m:1:2725899101:A506888074A5214C5593268998D753F0:r" TargetMode="External"/><Relationship Id="rId12" Type="http://schemas.openxmlformats.org/officeDocument/2006/relationships/hyperlink" Target="http://echo4.bluehornet.com/ct/88738745:7I4_2dYEN:m:1:2725899101:A506888074A5214C5593268998D753F0:r" TargetMode="External"/><Relationship Id="rId17" Type="http://schemas.openxmlformats.org/officeDocument/2006/relationships/hyperlink" Target="http://echo4.bluehornet.com/ct/88738750:7I4_2dYEN:m:1:2725899101:A506888074A5214C5593268998D753F0:r" TargetMode="External"/><Relationship Id="rId2" Type="http://schemas.microsoft.com/office/2007/relationships/stylesWithEffects" Target="stylesWithEffects.xml"/><Relationship Id="rId16" Type="http://schemas.openxmlformats.org/officeDocument/2006/relationships/hyperlink" Target="http://echo4.bluehornet.com/ct/88738749:7I4_2dYEN:m:1:2725899101:A506888074A5214C5593268998D753F0:r" TargetMode="External"/><Relationship Id="rId20" Type="http://schemas.openxmlformats.org/officeDocument/2006/relationships/hyperlink" Target="mailto:Integration@TheNationalCouncil.org" TargetMode="External"/><Relationship Id="rId1" Type="http://schemas.openxmlformats.org/officeDocument/2006/relationships/styles" Target="styles.xml"/><Relationship Id="rId6" Type="http://schemas.openxmlformats.org/officeDocument/2006/relationships/hyperlink" Target="http://echo4.bluehornet.com/ct/88738738:7I4_2dYEN:m:1:2725899101:A506888074A5214C5593268998D753F0:r" TargetMode="External"/><Relationship Id="rId11" Type="http://schemas.openxmlformats.org/officeDocument/2006/relationships/hyperlink" Target="http://echo4.bluehornet.com/ct/88738744:7I4_2dYEN:m:1:2725899101:A506888074A5214C5593268998D753F0:r" TargetMode="External"/><Relationship Id="rId5" Type="http://schemas.openxmlformats.org/officeDocument/2006/relationships/image" Target="media/image1.jpeg"/><Relationship Id="rId15" Type="http://schemas.openxmlformats.org/officeDocument/2006/relationships/hyperlink" Target="http://echo4.bluehornet.com/ct/88738748:7I4_2dYEN:m:1:2725899101:A506888074A5214C5593268998D753F0:r" TargetMode="External"/><Relationship Id="rId10" Type="http://schemas.openxmlformats.org/officeDocument/2006/relationships/hyperlink" Target="http://echo4.bluehornet.com/ct/88738743:7I4_2dYEN:m:1:2725899101:A506888074A5214C5593268998D753F0:r" TargetMode="External"/><Relationship Id="rId19" Type="http://schemas.openxmlformats.org/officeDocument/2006/relationships/hyperlink" Target="http://echo4.bluehornet.com/ct/88738752:7I4_2dYEN:m:1:2725899101:A506888074A5214C5593268998D753F0:r" TargetMode="External"/><Relationship Id="rId4" Type="http://schemas.openxmlformats.org/officeDocument/2006/relationships/webSettings" Target="webSettings.xml"/><Relationship Id="rId9" Type="http://schemas.openxmlformats.org/officeDocument/2006/relationships/hyperlink" Target="http://echo4.bluehornet.com/ct/88738742:7I4_2dYEN:m:1:2725899101:A506888074A5214C5593268998D753F0:r" TargetMode="External"/><Relationship Id="rId14" Type="http://schemas.openxmlformats.org/officeDocument/2006/relationships/hyperlink" Target="http://echo4.bluehornet.com/ct/88738747:7I4_2dYEN:m:1:2725899101:A506888074A5214C5593268998D753F0: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Susanne</dc:creator>
  <cp:lastModifiedBy>Campbell, Susanne</cp:lastModifiedBy>
  <cp:revision>1</cp:revision>
  <dcterms:created xsi:type="dcterms:W3CDTF">2016-06-30T11:34:00Z</dcterms:created>
  <dcterms:modified xsi:type="dcterms:W3CDTF">2016-06-30T11:35:00Z</dcterms:modified>
</cp:coreProperties>
</file>